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8729" w14:textId="34254A39" w:rsidR="003427F1" w:rsidRPr="00741756" w:rsidRDefault="003427F1" w:rsidP="003427F1">
      <w:pPr>
        <w:pStyle w:val="Heading1"/>
      </w:pPr>
      <w:r w:rsidRPr="003427F1">
        <w:rPr>
          <w:noProof/>
        </w:rPr>
        <w:drawing>
          <wp:anchor distT="0" distB="0" distL="114300" distR="114300" simplePos="0" relativeHeight="251659264" behindDoc="0" locked="0" layoutInCell="1" allowOverlap="1" wp14:anchorId="6B29F550" wp14:editId="43B500E3">
            <wp:simplePos x="0" y="0"/>
            <wp:positionH relativeFrom="column">
              <wp:posOffset>8749665</wp:posOffset>
            </wp:positionH>
            <wp:positionV relativeFrom="page">
              <wp:posOffset>407940</wp:posOffset>
            </wp:positionV>
            <wp:extent cx="1125977" cy="576393"/>
            <wp:effectExtent l="0" t="0" r="4445" b="0"/>
            <wp:wrapNone/>
            <wp:docPr id="2" name="Picture 1" descr="Home">
              <a:extLst xmlns:a="http://schemas.openxmlformats.org/drawingml/2006/main">
                <a:ext uri="{FF2B5EF4-FFF2-40B4-BE49-F238E27FC236}">
                  <a16:creationId xmlns:a16="http://schemas.microsoft.com/office/drawing/2014/main" id="{06043116-4849-5348-BB9D-B4B84BA3A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ome">
                      <a:extLst>
                        <a:ext uri="{FF2B5EF4-FFF2-40B4-BE49-F238E27FC236}">
                          <a16:creationId xmlns:a16="http://schemas.microsoft.com/office/drawing/2014/main" id="{06043116-4849-5348-BB9D-B4B84BA3A073}"/>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977" cy="5763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7F1">
        <w:t>Privacy Maturity</w:t>
      </w:r>
      <w:r w:rsidRPr="00741756">
        <w:t xml:space="preserve"> Matrix</w:t>
      </w:r>
    </w:p>
    <w:p w14:paraId="4865242F" w14:textId="77777777" w:rsidR="003427F1" w:rsidRDefault="003427F1" w:rsidP="003427F1">
      <w:r>
        <w:t>Version 1.0</w:t>
      </w:r>
    </w:p>
    <w:p w14:paraId="47526AB5" w14:textId="77777777" w:rsidR="003427F1" w:rsidRDefault="003427F1"/>
    <w:tbl>
      <w:tblPr>
        <w:tblStyle w:val="TableGrid"/>
        <w:tblW w:w="15588" w:type="dxa"/>
        <w:tblCellMar>
          <w:top w:w="57" w:type="dxa"/>
          <w:bottom w:w="57" w:type="dxa"/>
        </w:tblCellMar>
        <w:tblLook w:val="0600" w:firstRow="0" w:lastRow="0" w:firstColumn="0" w:lastColumn="0" w:noHBand="1" w:noVBand="1"/>
      </w:tblPr>
      <w:tblGrid>
        <w:gridCol w:w="1378"/>
        <w:gridCol w:w="3553"/>
        <w:gridCol w:w="3554"/>
        <w:gridCol w:w="3554"/>
        <w:gridCol w:w="3549"/>
      </w:tblGrid>
      <w:tr w:rsidR="00805123" w:rsidRPr="00584686" w14:paraId="51CDAD25" w14:textId="77777777" w:rsidTr="003427F1">
        <w:trPr>
          <w:cantSplit/>
          <w:tblHeader/>
        </w:trPr>
        <w:tc>
          <w:tcPr>
            <w:tcW w:w="1378" w:type="dxa"/>
            <w:tcBorders>
              <w:top w:val="nil"/>
              <w:left w:val="nil"/>
              <w:bottom w:val="nil"/>
            </w:tcBorders>
          </w:tcPr>
          <w:p w14:paraId="0C97754D" w14:textId="77777777" w:rsidR="00805123" w:rsidRPr="00584686" w:rsidRDefault="00805123" w:rsidP="001672F4">
            <w:pPr>
              <w:rPr>
                <w:rFonts w:ascii="Arial" w:hAnsi="Arial" w:cs="Arial"/>
                <w:b/>
                <w:bCs/>
                <w:sz w:val="18"/>
                <w:szCs w:val="18"/>
              </w:rPr>
            </w:pPr>
          </w:p>
        </w:tc>
        <w:tc>
          <w:tcPr>
            <w:tcW w:w="7107" w:type="dxa"/>
            <w:gridSpan w:val="2"/>
            <w:shd w:val="clear" w:color="auto" w:fill="B4C6E7" w:themeFill="accent1" w:themeFillTint="66"/>
          </w:tcPr>
          <w:p w14:paraId="0E3171D4" w14:textId="679BA3D2" w:rsidR="00805123" w:rsidRPr="00584686" w:rsidRDefault="00805123" w:rsidP="001672F4">
            <w:pPr>
              <w:rPr>
                <w:rFonts w:ascii="Arial" w:hAnsi="Arial" w:cs="Arial"/>
                <w:b/>
                <w:bCs/>
                <w:sz w:val="22"/>
                <w:szCs w:val="22"/>
              </w:rPr>
            </w:pPr>
            <w:r w:rsidRPr="00584686">
              <w:rPr>
                <w:rFonts w:ascii="Arial" w:hAnsi="Arial" w:cs="Arial"/>
                <w:b/>
                <w:bCs/>
                <w:sz w:val="22"/>
                <w:szCs w:val="22"/>
              </w:rPr>
              <w:t>Meeting Compliance</w:t>
            </w:r>
          </w:p>
        </w:tc>
        <w:tc>
          <w:tcPr>
            <w:tcW w:w="7103" w:type="dxa"/>
            <w:gridSpan w:val="2"/>
            <w:shd w:val="clear" w:color="auto" w:fill="002060"/>
          </w:tcPr>
          <w:p w14:paraId="5335CB86" w14:textId="4FFDA390" w:rsidR="00805123" w:rsidRPr="00584686" w:rsidRDefault="00805123" w:rsidP="001672F4">
            <w:pPr>
              <w:rPr>
                <w:rFonts w:ascii="Arial" w:hAnsi="Arial" w:cs="Arial"/>
                <w:b/>
                <w:bCs/>
                <w:sz w:val="22"/>
                <w:szCs w:val="22"/>
              </w:rPr>
            </w:pPr>
            <w:r w:rsidRPr="00584686">
              <w:rPr>
                <w:rFonts w:ascii="Arial" w:hAnsi="Arial" w:cs="Arial"/>
                <w:b/>
                <w:bCs/>
                <w:sz w:val="22"/>
                <w:szCs w:val="22"/>
              </w:rPr>
              <w:t>Pursuing Best Practice</w:t>
            </w:r>
          </w:p>
        </w:tc>
      </w:tr>
      <w:tr w:rsidR="00956D3A" w:rsidRPr="00584686" w14:paraId="55511084" w14:textId="77777777" w:rsidTr="00956D3A">
        <w:trPr>
          <w:cantSplit/>
          <w:tblHeader/>
        </w:trPr>
        <w:tc>
          <w:tcPr>
            <w:tcW w:w="1378" w:type="dxa"/>
            <w:tcBorders>
              <w:top w:val="nil"/>
              <w:left w:val="nil"/>
              <w:bottom w:val="single" w:sz="4" w:space="0" w:color="auto"/>
            </w:tcBorders>
          </w:tcPr>
          <w:p w14:paraId="5F22E417" w14:textId="77777777" w:rsidR="00956D3A" w:rsidRPr="00584686" w:rsidRDefault="00956D3A" w:rsidP="001672F4">
            <w:pPr>
              <w:rPr>
                <w:rFonts w:ascii="Arial" w:hAnsi="Arial" w:cs="Arial"/>
                <w:b/>
                <w:bCs/>
                <w:sz w:val="18"/>
                <w:szCs w:val="18"/>
              </w:rPr>
            </w:pPr>
          </w:p>
        </w:tc>
        <w:tc>
          <w:tcPr>
            <w:tcW w:w="14210" w:type="dxa"/>
            <w:gridSpan w:val="4"/>
            <w:shd w:val="clear" w:color="auto" w:fill="B4C6E7" w:themeFill="accent1" w:themeFillTint="66"/>
          </w:tcPr>
          <w:p w14:paraId="7875ABE9" w14:textId="0A62BF74" w:rsidR="00956D3A" w:rsidRPr="00956D3A" w:rsidRDefault="00956D3A" w:rsidP="00956D3A">
            <w:pPr>
              <w:jc w:val="center"/>
              <w:rPr>
                <w:rFonts w:ascii="Arial" w:hAnsi="Arial" w:cs="Arial"/>
                <w:b/>
                <w:bCs/>
              </w:rPr>
            </w:pPr>
            <w:r w:rsidRPr="00956D3A">
              <w:rPr>
                <w:rFonts w:ascii="Arial" w:hAnsi="Arial" w:cs="Arial"/>
                <w:b/>
                <w:bCs/>
              </w:rPr>
              <w:t>Maturity Level</w:t>
            </w:r>
          </w:p>
        </w:tc>
      </w:tr>
      <w:tr w:rsidR="004D64B2" w:rsidRPr="00584686" w14:paraId="132793D6" w14:textId="77777777" w:rsidTr="000A1CD9">
        <w:trPr>
          <w:cantSplit/>
          <w:tblHeader/>
        </w:trPr>
        <w:tc>
          <w:tcPr>
            <w:tcW w:w="1378" w:type="dxa"/>
            <w:tcBorders>
              <w:top w:val="single" w:sz="4" w:space="0" w:color="auto"/>
              <w:left w:val="single" w:sz="4" w:space="0" w:color="auto"/>
            </w:tcBorders>
            <w:shd w:val="clear" w:color="auto" w:fill="222A35" w:themeFill="text2" w:themeFillShade="80"/>
          </w:tcPr>
          <w:p w14:paraId="3A6E403C" w14:textId="29A0ABD1" w:rsidR="007E67CD" w:rsidRPr="00956D3A" w:rsidRDefault="008833B5" w:rsidP="001672F4">
            <w:pPr>
              <w:rPr>
                <w:rFonts w:ascii="Arial" w:hAnsi="Arial" w:cs="Arial"/>
                <w:b/>
                <w:bCs/>
              </w:rPr>
            </w:pPr>
            <w:r w:rsidRPr="00956D3A">
              <w:rPr>
                <w:rFonts w:ascii="Arial" w:hAnsi="Arial" w:cs="Arial"/>
                <w:b/>
                <w:bCs/>
              </w:rPr>
              <w:t>Area of Practice</w:t>
            </w:r>
          </w:p>
        </w:tc>
        <w:tc>
          <w:tcPr>
            <w:tcW w:w="3553" w:type="dxa"/>
            <w:shd w:val="clear" w:color="auto" w:fill="D9E2F3" w:themeFill="accent1" w:themeFillTint="33"/>
          </w:tcPr>
          <w:p w14:paraId="32A30F52" w14:textId="0313D9A0" w:rsidR="007E67CD" w:rsidRPr="00584686" w:rsidRDefault="007E67CD" w:rsidP="001672F4">
            <w:pPr>
              <w:rPr>
                <w:rFonts w:ascii="Arial" w:hAnsi="Arial" w:cs="Arial"/>
                <w:b/>
                <w:bCs/>
                <w:sz w:val="22"/>
                <w:szCs w:val="22"/>
              </w:rPr>
            </w:pPr>
            <w:r w:rsidRPr="00584686">
              <w:rPr>
                <w:rFonts w:ascii="Arial" w:hAnsi="Arial" w:cs="Arial"/>
                <w:b/>
                <w:bCs/>
                <w:sz w:val="22"/>
                <w:szCs w:val="22"/>
              </w:rPr>
              <w:t>Level 1 – Developing Foundations</w:t>
            </w:r>
          </w:p>
        </w:tc>
        <w:tc>
          <w:tcPr>
            <w:tcW w:w="3554" w:type="dxa"/>
            <w:shd w:val="clear" w:color="auto" w:fill="B4C6E7" w:themeFill="accent1" w:themeFillTint="66"/>
          </w:tcPr>
          <w:p w14:paraId="348F883E" w14:textId="61094551" w:rsidR="007E67CD" w:rsidRPr="00584686" w:rsidRDefault="007E67CD" w:rsidP="001672F4">
            <w:pPr>
              <w:rPr>
                <w:rFonts w:ascii="Arial" w:hAnsi="Arial" w:cs="Arial"/>
                <w:b/>
                <w:bCs/>
                <w:sz w:val="22"/>
                <w:szCs w:val="22"/>
              </w:rPr>
            </w:pPr>
            <w:r w:rsidRPr="00584686">
              <w:rPr>
                <w:rFonts w:ascii="Arial" w:hAnsi="Arial" w:cs="Arial"/>
                <w:b/>
                <w:bCs/>
                <w:sz w:val="22"/>
                <w:szCs w:val="22"/>
              </w:rPr>
              <w:t xml:space="preserve">Level 2 – Established </w:t>
            </w:r>
            <w:r w:rsidR="00805123">
              <w:rPr>
                <w:rFonts w:ascii="Arial" w:hAnsi="Arial" w:cs="Arial"/>
                <w:b/>
                <w:bCs/>
                <w:sz w:val="22"/>
                <w:szCs w:val="22"/>
              </w:rPr>
              <w:t>Compliance</w:t>
            </w:r>
          </w:p>
        </w:tc>
        <w:tc>
          <w:tcPr>
            <w:tcW w:w="3554" w:type="dxa"/>
            <w:shd w:val="clear" w:color="auto" w:fill="2F5496" w:themeFill="accent1" w:themeFillShade="BF"/>
          </w:tcPr>
          <w:p w14:paraId="6F164346" w14:textId="7EB635C4" w:rsidR="007E67CD" w:rsidRPr="00584686" w:rsidRDefault="007E67CD" w:rsidP="001672F4">
            <w:pPr>
              <w:rPr>
                <w:rFonts w:ascii="Arial" w:hAnsi="Arial" w:cs="Arial"/>
                <w:b/>
                <w:bCs/>
                <w:sz w:val="22"/>
                <w:szCs w:val="22"/>
              </w:rPr>
            </w:pPr>
            <w:r w:rsidRPr="003427F1">
              <w:rPr>
                <w:rFonts w:ascii="Arial" w:hAnsi="Arial" w:cs="Arial"/>
                <w:b/>
                <w:bCs/>
                <w:color w:val="FFFFFF" w:themeColor="background1"/>
                <w:sz w:val="22"/>
                <w:szCs w:val="22"/>
              </w:rPr>
              <w:t>Level 3 – Embedded Operations</w:t>
            </w:r>
          </w:p>
        </w:tc>
        <w:tc>
          <w:tcPr>
            <w:tcW w:w="3549" w:type="dxa"/>
            <w:shd w:val="clear" w:color="auto" w:fill="002060"/>
          </w:tcPr>
          <w:p w14:paraId="441FCDD1" w14:textId="69E13DEB" w:rsidR="007E67CD" w:rsidRPr="00584686" w:rsidRDefault="007E67CD" w:rsidP="001672F4">
            <w:pPr>
              <w:rPr>
                <w:rFonts w:ascii="Arial" w:hAnsi="Arial" w:cs="Arial"/>
                <w:b/>
                <w:bCs/>
                <w:sz w:val="22"/>
                <w:szCs w:val="22"/>
              </w:rPr>
            </w:pPr>
            <w:r w:rsidRPr="00584686">
              <w:rPr>
                <w:rFonts w:ascii="Arial" w:hAnsi="Arial" w:cs="Arial"/>
                <w:b/>
                <w:bCs/>
                <w:sz w:val="22"/>
                <w:szCs w:val="22"/>
              </w:rPr>
              <w:t>Level 4 – Optimised Excellence</w:t>
            </w:r>
          </w:p>
        </w:tc>
      </w:tr>
      <w:tr w:rsidR="00755358" w:rsidRPr="002D24CB" w14:paraId="30D35C3C" w14:textId="77777777" w:rsidTr="003427F1">
        <w:trPr>
          <w:cantSplit/>
        </w:trPr>
        <w:tc>
          <w:tcPr>
            <w:tcW w:w="1378" w:type="dxa"/>
            <w:shd w:val="clear" w:color="auto" w:fill="222A35" w:themeFill="text2" w:themeFillShade="80"/>
          </w:tcPr>
          <w:p w14:paraId="705F221A" w14:textId="56C8AD89" w:rsidR="00755358" w:rsidRPr="00584686" w:rsidRDefault="00755358" w:rsidP="00755358">
            <w:pPr>
              <w:rPr>
                <w:rFonts w:ascii="Arial" w:hAnsi="Arial" w:cs="Arial"/>
                <w:b/>
                <w:bCs/>
                <w:sz w:val="18"/>
                <w:szCs w:val="18"/>
              </w:rPr>
            </w:pPr>
            <w:r w:rsidRPr="00584686">
              <w:rPr>
                <w:rFonts w:ascii="Arial" w:hAnsi="Arial" w:cs="Arial"/>
                <w:b/>
                <w:bCs/>
                <w:sz w:val="18"/>
                <w:szCs w:val="18"/>
              </w:rPr>
              <w:t>Culture and Leadership</w:t>
            </w:r>
          </w:p>
        </w:tc>
        <w:tc>
          <w:tcPr>
            <w:tcW w:w="3553" w:type="dxa"/>
          </w:tcPr>
          <w:p w14:paraId="0C2251AF" w14:textId="77777777" w:rsidR="00755358" w:rsidRDefault="00755358" w:rsidP="00755358">
            <w:pPr>
              <w:rPr>
                <w:rFonts w:ascii="Arial" w:hAnsi="Arial" w:cs="Arial"/>
                <w:sz w:val="15"/>
                <w:szCs w:val="15"/>
              </w:rPr>
            </w:pPr>
            <w:r w:rsidRPr="002D24CB">
              <w:rPr>
                <w:rFonts w:ascii="Arial" w:hAnsi="Arial" w:cs="Arial"/>
                <w:sz w:val="15"/>
                <w:szCs w:val="15"/>
              </w:rPr>
              <w:t xml:space="preserve">The </w:t>
            </w:r>
            <w:r w:rsidR="008B437C">
              <w:rPr>
                <w:rFonts w:ascii="Arial" w:hAnsi="Arial" w:cs="Arial"/>
                <w:sz w:val="15"/>
                <w:szCs w:val="15"/>
              </w:rPr>
              <w:t>Executive and Senior Leadership</w:t>
            </w:r>
            <w:r w:rsidR="008B437C" w:rsidRPr="00F61431">
              <w:rPr>
                <w:rFonts w:ascii="Arial" w:hAnsi="Arial" w:cs="Arial"/>
                <w:sz w:val="15"/>
                <w:szCs w:val="15"/>
              </w:rPr>
              <w:t xml:space="preserve"> </w:t>
            </w:r>
            <w:r w:rsidR="002055E0">
              <w:rPr>
                <w:rFonts w:ascii="Arial" w:hAnsi="Arial" w:cs="Arial"/>
                <w:sz w:val="15"/>
                <w:szCs w:val="15"/>
              </w:rPr>
              <w:t>are</w:t>
            </w:r>
            <w:r w:rsidRPr="002D24CB">
              <w:rPr>
                <w:rFonts w:ascii="Arial" w:hAnsi="Arial" w:cs="Arial"/>
                <w:sz w:val="15"/>
                <w:szCs w:val="15"/>
              </w:rPr>
              <w:t xml:space="preserve"> building awareness of their role in promoting </w:t>
            </w:r>
            <w:r>
              <w:rPr>
                <w:rFonts w:ascii="Arial" w:hAnsi="Arial" w:cs="Arial"/>
                <w:sz w:val="15"/>
                <w:szCs w:val="15"/>
              </w:rPr>
              <w:t>a privacy-positive</w:t>
            </w:r>
            <w:r w:rsidRPr="002D24CB">
              <w:rPr>
                <w:rFonts w:ascii="Arial" w:hAnsi="Arial" w:cs="Arial"/>
                <w:sz w:val="15"/>
                <w:szCs w:val="15"/>
              </w:rPr>
              <w:t xml:space="preserve"> culture. </w:t>
            </w:r>
            <w:r>
              <w:rPr>
                <w:rFonts w:ascii="Arial" w:hAnsi="Arial" w:cs="Arial"/>
                <w:sz w:val="15"/>
                <w:szCs w:val="15"/>
              </w:rPr>
              <w:t>Privacy</w:t>
            </w:r>
            <w:r w:rsidRPr="002D24CB">
              <w:rPr>
                <w:rFonts w:ascii="Arial" w:hAnsi="Arial" w:cs="Arial"/>
                <w:sz w:val="15"/>
                <w:szCs w:val="15"/>
              </w:rPr>
              <w:t xml:space="preserve"> practices and procedures </w:t>
            </w:r>
            <w:r w:rsidR="00AE4F5E">
              <w:rPr>
                <w:rFonts w:ascii="Arial" w:hAnsi="Arial" w:cs="Arial"/>
                <w:sz w:val="15"/>
                <w:szCs w:val="15"/>
              </w:rPr>
              <w:t xml:space="preserve">do not exist, </w:t>
            </w:r>
            <w:r w:rsidRPr="002D24CB">
              <w:rPr>
                <w:rFonts w:ascii="Arial" w:hAnsi="Arial" w:cs="Arial"/>
                <w:sz w:val="15"/>
                <w:szCs w:val="15"/>
              </w:rPr>
              <w:t xml:space="preserve">are not fully developed, are not fit for purpose or are performed in an ad-hoc manner. </w:t>
            </w:r>
          </w:p>
          <w:p w14:paraId="0CAC237A" w14:textId="574A6A1F" w:rsidR="007E4638" w:rsidRPr="007E4638" w:rsidRDefault="007E4638" w:rsidP="007E4638">
            <w:pPr>
              <w:rPr>
                <w:rFonts w:ascii="Arial" w:hAnsi="Arial" w:cs="Arial"/>
                <w:sz w:val="15"/>
                <w:szCs w:val="15"/>
              </w:rPr>
            </w:pPr>
          </w:p>
        </w:tc>
        <w:tc>
          <w:tcPr>
            <w:tcW w:w="3554" w:type="dxa"/>
          </w:tcPr>
          <w:p w14:paraId="42D9C5AE" w14:textId="6D4597D5" w:rsidR="00755358" w:rsidRPr="002D24CB" w:rsidRDefault="00755358" w:rsidP="00755358">
            <w:pPr>
              <w:rPr>
                <w:rFonts w:ascii="Arial" w:hAnsi="Arial" w:cs="Arial"/>
                <w:sz w:val="15"/>
                <w:szCs w:val="15"/>
              </w:rPr>
            </w:pPr>
            <w:r w:rsidRPr="002D24CB">
              <w:rPr>
                <w:rFonts w:ascii="Arial" w:hAnsi="Arial" w:cs="Arial"/>
                <w:sz w:val="15"/>
                <w:szCs w:val="15"/>
              </w:rPr>
              <w:t xml:space="preserve">The </w:t>
            </w:r>
            <w:r w:rsidR="008B437C">
              <w:rPr>
                <w:rFonts w:ascii="Arial" w:hAnsi="Arial" w:cs="Arial"/>
                <w:sz w:val="15"/>
                <w:szCs w:val="15"/>
              </w:rPr>
              <w:t>Executive and Senior Leadership</w:t>
            </w:r>
            <w:r w:rsidR="008B437C" w:rsidRPr="00F61431">
              <w:rPr>
                <w:rFonts w:ascii="Arial" w:hAnsi="Arial" w:cs="Arial"/>
                <w:sz w:val="15"/>
                <w:szCs w:val="15"/>
              </w:rPr>
              <w:t xml:space="preserve"> </w:t>
            </w:r>
            <w:r w:rsidRPr="002D24CB">
              <w:rPr>
                <w:rFonts w:ascii="Arial" w:hAnsi="Arial" w:cs="Arial"/>
                <w:sz w:val="15"/>
                <w:szCs w:val="15"/>
              </w:rPr>
              <w:t>support the promotion of</w:t>
            </w:r>
            <w:r>
              <w:rPr>
                <w:rFonts w:ascii="Arial" w:hAnsi="Arial" w:cs="Arial"/>
                <w:sz w:val="15"/>
                <w:szCs w:val="15"/>
              </w:rPr>
              <w:t xml:space="preserve"> a</w:t>
            </w:r>
            <w:r w:rsidRPr="002D24CB">
              <w:rPr>
                <w:rFonts w:ascii="Arial" w:hAnsi="Arial" w:cs="Arial"/>
                <w:sz w:val="15"/>
                <w:szCs w:val="15"/>
              </w:rPr>
              <w:t xml:space="preserve"> </w:t>
            </w:r>
            <w:r>
              <w:rPr>
                <w:rFonts w:ascii="Arial" w:hAnsi="Arial" w:cs="Arial"/>
                <w:sz w:val="15"/>
                <w:szCs w:val="15"/>
              </w:rPr>
              <w:t>privacy-positive</w:t>
            </w:r>
            <w:r w:rsidRPr="002D24CB">
              <w:rPr>
                <w:rFonts w:ascii="Arial" w:hAnsi="Arial" w:cs="Arial"/>
                <w:sz w:val="15"/>
                <w:szCs w:val="15"/>
              </w:rPr>
              <w:t xml:space="preserve"> culture to all levels of the organisation. </w:t>
            </w:r>
            <w:r>
              <w:rPr>
                <w:rFonts w:ascii="Arial" w:hAnsi="Arial" w:cs="Arial"/>
                <w:sz w:val="15"/>
                <w:szCs w:val="15"/>
              </w:rPr>
              <w:t>Privacy</w:t>
            </w:r>
            <w:r w:rsidRPr="002D24CB">
              <w:rPr>
                <w:rFonts w:ascii="Arial" w:hAnsi="Arial" w:cs="Arial"/>
                <w:sz w:val="15"/>
                <w:szCs w:val="15"/>
              </w:rPr>
              <w:t xml:space="preserve"> practices and procedures are available and routinely performed. </w:t>
            </w:r>
          </w:p>
        </w:tc>
        <w:tc>
          <w:tcPr>
            <w:tcW w:w="3554" w:type="dxa"/>
          </w:tcPr>
          <w:p w14:paraId="7B46C77D" w14:textId="7905246D" w:rsidR="00755358" w:rsidRPr="002D24CB" w:rsidRDefault="00755358" w:rsidP="00755358">
            <w:pPr>
              <w:rPr>
                <w:rFonts w:ascii="Arial" w:hAnsi="Arial" w:cs="Arial"/>
                <w:sz w:val="15"/>
                <w:szCs w:val="15"/>
              </w:rPr>
            </w:pPr>
            <w:r w:rsidRPr="002D24CB">
              <w:rPr>
                <w:rFonts w:ascii="Arial" w:hAnsi="Arial" w:cs="Arial"/>
                <w:sz w:val="15"/>
                <w:szCs w:val="15"/>
              </w:rPr>
              <w:t xml:space="preserve">The </w:t>
            </w:r>
            <w:r w:rsidR="008B437C">
              <w:rPr>
                <w:rFonts w:ascii="Arial" w:hAnsi="Arial" w:cs="Arial"/>
                <w:sz w:val="15"/>
                <w:szCs w:val="15"/>
              </w:rPr>
              <w:t>Executive and Senior Leadership</w:t>
            </w:r>
            <w:r w:rsidR="008B437C" w:rsidRPr="00F61431">
              <w:rPr>
                <w:rFonts w:ascii="Arial" w:hAnsi="Arial" w:cs="Arial"/>
                <w:sz w:val="15"/>
                <w:szCs w:val="15"/>
              </w:rPr>
              <w:t xml:space="preserve"> </w:t>
            </w:r>
            <w:r w:rsidRPr="002D24CB">
              <w:rPr>
                <w:rFonts w:ascii="Arial" w:hAnsi="Arial" w:cs="Arial"/>
                <w:sz w:val="15"/>
                <w:szCs w:val="15"/>
              </w:rPr>
              <w:t>pro-actively monitors the promotion of</w:t>
            </w:r>
            <w:r>
              <w:rPr>
                <w:rFonts w:ascii="Arial" w:hAnsi="Arial" w:cs="Arial"/>
                <w:sz w:val="15"/>
                <w:szCs w:val="15"/>
              </w:rPr>
              <w:t xml:space="preserve"> a</w:t>
            </w:r>
            <w:r w:rsidRPr="002D24CB">
              <w:rPr>
                <w:rFonts w:ascii="Arial" w:hAnsi="Arial" w:cs="Arial"/>
                <w:sz w:val="15"/>
                <w:szCs w:val="15"/>
              </w:rPr>
              <w:t xml:space="preserve"> </w:t>
            </w:r>
            <w:r>
              <w:rPr>
                <w:rFonts w:ascii="Arial" w:hAnsi="Arial" w:cs="Arial"/>
                <w:sz w:val="15"/>
                <w:szCs w:val="15"/>
              </w:rPr>
              <w:t>privacy-positive</w:t>
            </w:r>
            <w:r w:rsidRPr="002D24CB">
              <w:rPr>
                <w:rFonts w:ascii="Arial" w:hAnsi="Arial" w:cs="Arial"/>
                <w:sz w:val="15"/>
                <w:szCs w:val="15"/>
              </w:rPr>
              <w:t xml:space="preserve"> culture to all levels of the organisation. </w:t>
            </w:r>
            <w:r>
              <w:rPr>
                <w:rFonts w:ascii="Arial" w:hAnsi="Arial" w:cs="Arial"/>
                <w:sz w:val="15"/>
                <w:szCs w:val="15"/>
              </w:rPr>
              <w:t>Privacy</w:t>
            </w:r>
            <w:r w:rsidRPr="002D24CB">
              <w:rPr>
                <w:rFonts w:ascii="Arial" w:hAnsi="Arial" w:cs="Arial"/>
                <w:sz w:val="15"/>
                <w:szCs w:val="15"/>
              </w:rPr>
              <w:t xml:space="preserve"> practices and procedures are embedded into business-as-usual processes.  </w:t>
            </w:r>
          </w:p>
        </w:tc>
        <w:tc>
          <w:tcPr>
            <w:tcW w:w="3549" w:type="dxa"/>
          </w:tcPr>
          <w:p w14:paraId="65600CAE" w14:textId="7B98D498" w:rsidR="00755358" w:rsidRPr="002D24CB" w:rsidRDefault="00755358" w:rsidP="00755358">
            <w:pPr>
              <w:rPr>
                <w:rFonts w:ascii="Arial" w:hAnsi="Arial" w:cs="Arial"/>
                <w:sz w:val="15"/>
                <w:szCs w:val="15"/>
              </w:rPr>
            </w:pPr>
            <w:r w:rsidRPr="002D24CB">
              <w:rPr>
                <w:rFonts w:ascii="Arial" w:hAnsi="Arial" w:cs="Arial"/>
                <w:sz w:val="15"/>
                <w:szCs w:val="15"/>
              </w:rPr>
              <w:t xml:space="preserve">The </w:t>
            </w:r>
            <w:r w:rsidR="008B437C">
              <w:rPr>
                <w:rFonts w:ascii="Arial" w:hAnsi="Arial" w:cs="Arial"/>
                <w:sz w:val="15"/>
                <w:szCs w:val="15"/>
              </w:rPr>
              <w:t>Executive and Senior Leadership</w:t>
            </w:r>
            <w:r w:rsidR="008B437C" w:rsidRPr="00F61431">
              <w:rPr>
                <w:rFonts w:ascii="Arial" w:hAnsi="Arial" w:cs="Arial"/>
                <w:sz w:val="15"/>
                <w:szCs w:val="15"/>
              </w:rPr>
              <w:t xml:space="preserve"> </w:t>
            </w:r>
            <w:r w:rsidRPr="002D24CB">
              <w:rPr>
                <w:rFonts w:ascii="Arial" w:hAnsi="Arial" w:cs="Arial"/>
                <w:sz w:val="15"/>
                <w:szCs w:val="15"/>
              </w:rPr>
              <w:t xml:space="preserve">promote </w:t>
            </w:r>
            <w:r>
              <w:rPr>
                <w:rFonts w:ascii="Arial" w:hAnsi="Arial" w:cs="Arial"/>
                <w:sz w:val="15"/>
                <w:szCs w:val="15"/>
              </w:rPr>
              <w:t>a privacy-positive</w:t>
            </w:r>
            <w:r w:rsidRPr="002D24CB">
              <w:rPr>
                <w:rFonts w:ascii="Arial" w:hAnsi="Arial" w:cs="Arial"/>
                <w:sz w:val="15"/>
                <w:szCs w:val="15"/>
              </w:rPr>
              <w:t xml:space="preserve"> culture and advocate it as a priority to all levels of the organisation. </w:t>
            </w:r>
            <w:r>
              <w:rPr>
                <w:rFonts w:ascii="Arial" w:hAnsi="Arial" w:cs="Arial"/>
                <w:sz w:val="15"/>
                <w:szCs w:val="15"/>
              </w:rPr>
              <w:t>Privacy</w:t>
            </w:r>
            <w:r w:rsidRPr="002D24CB">
              <w:rPr>
                <w:rFonts w:ascii="Arial" w:hAnsi="Arial" w:cs="Arial"/>
                <w:sz w:val="15"/>
                <w:szCs w:val="15"/>
              </w:rPr>
              <w:t xml:space="preserve"> practices and procedures are subject to continuous improvement activities. </w:t>
            </w:r>
          </w:p>
        </w:tc>
      </w:tr>
      <w:tr w:rsidR="00755358" w:rsidRPr="002D24CB" w14:paraId="2843930C" w14:textId="77777777" w:rsidTr="003427F1">
        <w:trPr>
          <w:cantSplit/>
        </w:trPr>
        <w:tc>
          <w:tcPr>
            <w:tcW w:w="1378" w:type="dxa"/>
            <w:shd w:val="clear" w:color="auto" w:fill="222A35" w:themeFill="text2" w:themeFillShade="80"/>
          </w:tcPr>
          <w:p w14:paraId="3786284A" w14:textId="53EFA35F" w:rsidR="00755358" w:rsidRPr="00584686" w:rsidRDefault="00755358" w:rsidP="00755358">
            <w:pPr>
              <w:rPr>
                <w:rFonts w:ascii="Arial" w:hAnsi="Arial" w:cs="Arial"/>
                <w:b/>
                <w:bCs/>
                <w:sz w:val="18"/>
                <w:szCs w:val="18"/>
              </w:rPr>
            </w:pPr>
            <w:r>
              <w:rPr>
                <w:rFonts w:ascii="Arial" w:hAnsi="Arial" w:cs="Arial"/>
                <w:b/>
                <w:bCs/>
                <w:sz w:val="18"/>
                <w:szCs w:val="18"/>
              </w:rPr>
              <w:t>Privacy Reporting</w:t>
            </w:r>
          </w:p>
        </w:tc>
        <w:tc>
          <w:tcPr>
            <w:tcW w:w="3553" w:type="dxa"/>
          </w:tcPr>
          <w:p w14:paraId="30C46518" w14:textId="1E4D4947" w:rsidR="007E4638" w:rsidRPr="007E4638" w:rsidRDefault="00CA2338" w:rsidP="007E4638">
            <w:pPr>
              <w:rPr>
                <w:rFonts w:ascii="Arial" w:hAnsi="Arial" w:cs="Arial"/>
                <w:sz w:val="15"/>
                <w:szCs w:val="15"/>
              </w:rPr>
            </w:pPr>
            <w:r>
              <w:rPr>
                <w:rFonts w:ascii="Arial" w:hAnsi="Arial" w:cs="Arial"/>
                <w:sz w:val="15"/>
                <w:szCs w:val="15"/>
              </w:rPr>
              <w:t>A statement that demonstrates privacy compliance is not available in the organisational annual report or it does not include statistical details of any internal reviews conducted.</w:t>
            </w:r>
          </w:p>
        </w:tc>
        <w:tc>
          <w:tcPr>
            <w:tcW w:w="3554" w:type="dxa"/>
          </w:tcPr>
          <w:p w14:paraId="796704C2" w14:textId="6CDBF5C3" w:rsidR="00755358" w:rsidRPr="002D24CB" w:rsidRDefault="00CA2338" w:rsidP="00755358">
            <w:pPr>
              <w:rPr>
                <w:rFonts w:ascii="Arial" w:hAnsi="Arial" w:cs="Arial"/>
                <w:sz w:val="15"/>
                <w:szCs w:val="15"/>
              </w:rPr>
            </w:pPr>
            <w:r>
              <w:rPr>
                <w:rFonts w:ascii="Arial" w:hAnsi="Arial" w:cs="Arial"/>
                <w:sz w:val="15"/>
                <w:szCs w:val="15"/>
              </w:rPr>
              <w:t xml:space="preserve">A statement that demonstrates privacy compliance is available in the organisational annual report, including statistical details of any internal reviews conducted.  </w:t>
            </w:r>
          </w:p>
        </w:tc>
        <w:tc>
          <w:tcPr>
            <w:tcW w:w="3554" w:type="dxa"/>
          </w:tcPr>
          <w:p w14:paraId="14B50A2B" w14:textId="4E897330" w:rsidR="00755358" w:rsidRPr="002D24CB" w:rsidRDefault="00CA2338" w:rsidP="00755358">
            <w:pPr>
              <w:rPr>
                <w:rFonts w:ascii="Arial" w:hAnsi="Arial" w:cs="Arial"/>
                <w:sz w:val="15"/>
                <w:szCs w:val="15"/>
              </w:rPr>
            </w:pPr>
            <w:r>
              <w:rPr>
                <w:rFonts w:ascii="Arial" w:hAnsi="Arial" w:cs="Arial"/>
                <w:sz w:val="15"/>
                <w:szCs w:val="15"/>
              </w:rPr>
              <w:t xml:space="preserve">Reporting </w:t>
            </w:r>
            <w:r w:rsidR="00615C66">
              <w:rPr>
                <w:rFonts w:ascii="Arial" w:hAnsi="Arial" w:cs="Arial"/>
                <w:sz w:val="15"/>
                <w:szCs w:val="15"/>
              </w:rPr>
              <w:t xml:space="preserve">privacy compliance in the annual </w:t>
            </w:r>
            <w:r w:rsidR="00602D68">
              <w:rPr>
                <w:rFonts w:ascii="Arial" w:hAnsi="Arial" w:cs="Arial"/>
                <w:sz w:val="15"/>
                <w:szCs w:val="15"/>
              </w:rPr>
              <w:t xml:space="preserve">report </w:t>
            </w:r>
            <w:r w:rsidR="00615C66">
              <w:rPr>
                <w:rFonts w:ascii="Arial" w:hAnsi="Arial" w:cs="Arial"/>
                <w:sz w:val="15"/>
                <w:szCs w:val="15"/>
              </w:rPr>
              <w:t xml:space="preserve">statement forms an explicit and documented part of wider privacy responsibilities and </w:t>
            </w:r>
            <w:r w:rsidR="00392E13">
              <w:rPr>
                <w:rFonts w:ascii="Arial" w:hAnsi="Arial" w:cs="Arial"/>
                <w:sz w:val="15"/>
                <w:szCs w:val="15"/>
              </w:rPr>
              <w:t>processes and</w:t>
            </w:r>
            <w:r w:rsidR="00615C66">
              <w:rPr>
                <w:rFonts w:ascii="Arial" w:hAnsi="Arial" w:cs="Arial"/>
                <w:sz w:val="15"/>
                <w:szCs w:val="15"/>
              </w:rPr>
              <w:t xml:space="preserve"> </w:t>
            </w:r>
            <w:r w:rsidR="00392E13">
              <w:rPr>
                <w:rFonts w:ascii="Arial" w:hAnsi="Arial" w:cs="Arial"/>
                <w:sz w:val="15"/>
                <w:szCs w:val="15"/>
              </w:rPr>
              <w:t>reflects identifiable and documented</w:t>
            </w:r>
            <w:r w:rsidR="00615C66">
              <w:rPr>
                <w:rFonts w:ascii="Arial" w:hAnsi="Arial" w:cs="Arial"/>
                <w:sz w:val="15"/>
                <w:szCs w:val="15"/>
              </w:rPr>
              <w:t xml:space="preserve"> privacy activities performed in the reporting period. </w:t>
            </w:r>
          </w:p>
        </w:tc>
        <w:tc>
          <w:tcPr>
            <w:tcW w:w="3549" w:type="dxa"/>
          </w:tcPr>
          <w:p w14:paraId="0053C1EF" w14:textId="368C8230" w:rsidR="00755358" w:rsidRPr="002D24CB" w:rsidRDefault="00615C66" w:rsidP="00755358">
            <w:pPr>
              <w:rPr>
                <w:rFonts w:ascii="Arial" w:hAnsi="Arial" w:cs="Arial"/>
                <w:sz w:val="15"/>
                <w:szCs w:val="15"/>
              </w:rPr>
            </w:pPr>
            <w:r>
              <w:rPr>
                <w:rFonts w:ascii="Arial" w:hAnsi="Arial" w:cs="Arial"/>
                <w:sz w:val="15"/>
                <w:szCs w:val="15"/>
              </w:rPr>
              <w:t>Review and</w:t>
            </w:r>
            <w:r w:rsidR="003F2E14">
              <w:rPr>
                <w:rFonts w:ascii="Arial" w:hAnsi="Arial" w:cs="Arial"/>
                <w:sz w:val="15"/>
                <w:szCs w:val="15"/>
              </w:rPr>
              <w:t xml:space="preserve"> contin</w:t>
            </w:r>
            <w:r w:rsidR="00792E24">
              <w:rPr>
                <w:rFonts w:ascii="Arial" w:hAnsi="Arial" w:cs="Arial"/>
                <w:sz w:val="15"/>
                <w:szCs w:val="15"/>
              </w:rPr>
              <w:t>uous</w:t>
            </w:r>
            <w:r>
              <w:rPr>
                <w:rFonts w:ascii="Arial" w:hAnsi="Arial" w:cs="Arial"/>
                <w:sz w:val="15"/>
                <w:szCs w:val="15"/>
              </w:rPr>
              <w:t xml:space="preserve"> improvement processes are in place to maximise the amount of information provided in the </w:t>
            </w:r>
            <w:r w:rsidR="00B328A7">
              <w:rPr>
                <w:rFonts w:ascii="Arial" w:hAnsi="Arial" w:cs="Arial"/>
                <w:sz w:val="15"/>
                <w:szCs w:val="15"/>
              </w:rPr>
              <w:t xml:space="preserve">annual report </w:t>
            </w:r>
            <w:r>
              <w:rPr>
                <w:rFonts w:ascii="Arial" w:hAnsi="Arial" w:cs="Arial"/>
                <w:sz w:val="15"/>
                <w:szCs w:val="15"/>
              </w:rPr>
              <w:t xml:space="preserve">statement demonstrating privacy compliance including the </w:t>
            </w:r>
            <w:r w:rsidR="00392E13">
              <w:rPr>
                <w:rFonts w:ascii="Arial" w:hAnsi="Arial" w:cs="Arial"/>
                <w:sz w:val="15"/>
                <w:szCs w:val="15"/>
              </w:rPr>
              <w:t>range of privacy response</w:t>
            </w:r>
            <w:r w:rsidR="00F936D8">
              <w:rPr>
                <w:rFonts w:ascii="Arial" w:hAnsi="Arial" w:cs="Arial"/>
                <w:sz w:val="15"/>
                <w:szCs w:val="15"/>
              </w:rPr>
              <w:t>s</w:t>
            </w:r>
            <w:r w:rsidR="00392E13">
              <w:rPr>
                <w:rFonts w:ascii="Arial" w:hAnsi="Arial" w:cs="Arial"/>
                <w:sz w:val="15"/>
                <w:szCs w:val="15"/>
              </w:rPr>
              <w:t xml:space="preserve"> and improvements performed in the reporting period, as well as </w:t>
            </w:r>
            <w:r>
              <w:rPr>
                <w:rFonts w:ascii="Arial" w:hAnsi="Arial" w:cs="Arial"/>
                <w:sz w:val="15"/>
                <w:szCs w:val="15"/>
              </w:rPr>
              <w:t>privacy priorities of the organisation and how privacy risks and issue</w:t>
            </w:r>
            <w:r w:rsidR="00F936D8">
              <w:rPr>
                <w:rFonts w:ascii="Arial" w:hAnsi="Arial" w:cs="Arial"/>
                <w:sz w:val="15"/>
                <w:szCs w:val="15"/>
              </w:rPr>
              <w:t>s</w:t>
            </w:r>
            <w:r>
              <w:rPr>
                <w:rFonts w:ascii="Arial" w:hAnsi="Arial" w:cs="Arial"/>
                <w:sz w:val="15"/>
                <w:szCs w:val="15"/>
              </w:rPr>
              <w:t xml:space="preserve"> are addressed and mitigated.  </w:t>
            </w:r>
          </w:p>
        </w:tc>
      </w:tr>
      <w:tr w:rsidR="00755358" w:rsidRPr="002D24CB" w14:paraId="458C5BFD" w14:textId="77777777" w:rsidTr="003427F1">
        <w:trPr>
          <w:cantSplit/>
        </w:trPr>
        <w:tc>
          <w:tcPr>
            <w:tcW w:w="1378" w:type="dxa"/>
            <w:shd w:val="clear" w:color="auto" w:fill="222A35" w:themeFill="text2" w:themeFillShade="80"/>
          </w:tcPr>
          <w:p w14:paraId="436CF940" w14:textId="6FBC4494" w:rsidR="00755358" w:rsidRPr="00584686" w:rsidRDefault="00755358" w:rsidP="00755358">
            <w:pPr>
              <w:rPr>
                <w:rFonts w:ascii="Arial" w:hAnsi="Arial" w:cs="Arial"/>
                <w:b/>
                <w:bCs/>
                <w:sz w:val="18"/>
                <w:szCs w:val="18"/>
              </w:rPr>
            </w:pPr>
            <w:r>
              <w:rPr>
                <w:rFonts w:ascii="Arial" w:hAnsi="Arial" w:cs="Arial"/>
                <w:b/>
                <w:bCs/>
                <w:sz w:val="18"/>
                <w:szCs w:val="18"/>
              </w:rPr>
              <w:t>Data Breach Reporting</w:t>
            </w:r>
          </w:p>
        </w:tc>
        <w:tc>
          <w:tcPr>
            <w:tcW w:w="3553" w:type="dxa"/>
          </w:tcPr>
          <w:p w14:paraId="46A2E800" w14:textId="5C0E0382" w:rsidR="007E4638" w:rsidRPr="007E4638" w:rsidRDefault="00145F5B" w:rsidP="007E4638">
            <w:pPr>
              <w:rPr>
                <w:rFonts w:ascii="Arial" w:hAnsi="Arial" w:cs="Arial"/>
                <w:sz w:val="15"/>
                <w:szCs w:val="15"/>
              </w:rPr>
            </w:pPr>
            <w:r>
              <w:rPr>
                <w:rFonts w:ascii="Arial" w:hAnsi="Arial" w:cs="Arial"/>
                <w:sz w:val="15"/>
                <w:szCs w:val="15"/>
              </w:rPr>
              <w:t xml:space="preserve">The organisation is unaware of </w:t>
            </w:r>
            <w:r w:rsidR="00DF6421">
              <w:rPr>
                <w:rFonts w:ascii="Arial" w:hAnsi="Arial" w:cs="Arial"/>
                <w:sz w:val="15"/>
                <w:szCs w:val="15"/>
              </w:rPr>
              <w:t xml:space="preserve">the </w:t>
            </w:r>
            <w:r>
              <w:rPr>
                <w:rFonts w:ascii="Arial" w:hAnsi="Arial" w:cs="Arial"/>
                <w:sz w:val="15"/>
                <w:szCs w:val="15"/>
              </w:rPr>
              <w:t xml:space="preserve">data breach </w:t>
            </w:r>
            <w:r w:rsidR="0082693B">
              <w:rPr>
                <w:rFonts w:ascii="Arial" w:hAnsi="Arial" w:cs="Arial"/>
                <w:sz w:val="15"/>
                <w:szCs w:val="15"/>
              </w:rPr>
              <w:t xml:space="preserve">notification </w:t>
            </w:r>
            <w:r>
              <w:rPr>
                <w:rFonts w:ascii="Arial" w:hAnsi="Arial" w:cs="Arial"/>
                <w:sz w:val="15"/>
                <w:szCs w:val="15"/>
              </w:rPr>
              <w:t xml:space="preserve">scheme and does not consider reporting in the event of data breaches. </w:t>
            </w:r>
          </w:p>
        </w:tc>
        <w:tc>
          <w:tcPr>
            <w:tcW w:w="3554" w:type="dxa"/>
          </w:tcPr>
          <w:p w14:paraId="72AB1EC4" w14:textId="7A3C1BBA" w:rsidR="00755358" w:rsidRPr="002D24CB" w:rsidRDefault="00145F5B" w:rsidP="00755358">
            <w:pPr>
              <w:rPr>
                <w:rFonts w:ascii="Arial" w:hAnsi="Arial" w:cs="Arial"/>
                <w:sz w:val="15"/>
                <w:szCs w:val="15"/>
              </w:rPr>
            </w:pPr>
            <w:r>
              <w:rPr>
                <w:rFonts w:ascii="Arial" w:hAnsi="Arial" w:cs="Arial"/>
                <w:sz w:val="15"/>
                <w:szCs w:val="15"/>
              </w:rPr>
              <w:t xml:space="preserve">The organisation is aware of the data breach notification scheme and follows </w:t>
            </w:r>
            <w:r w:rsidR="005A54C2">
              <w:rPr>
                <w:rFonts w:ascii="Arial" w:hAnsi="Arial" w:cs="Arial"/>
                <w:sz w:val="15"/>
                <w:szCs w:val="15"/>
              </w:rPr>
              <w:t xml:space="preserve">the </w:t>
            </w:r>
            <w:r>
              <w:rPr>
                <w:rFonts w:ascii="Arial" w:hAnsi="Arial" w:cs="Arial"/>
                <w:sz w:val="15"/>
                <w:szCs w:val="15"/>
              </w:rPr>
              <w:t>IPC</w:t>
            </w:r>
            <w:r w:rsidR="00DD6523">
              <w:rPr>
                <w:rFonts w:ascii="Arial" w:hAnsi="Arial" w:cs="Arial"/>
                <w:sz w:val="15"/>
                <w:szCs w:val="15"/>
              </w:rPr>
              <w:t xml:space="preserve"> NSW</w:t>
            </w:r>
            <w:r>
              <w:rPr>
                <w:rFonts w:ascii="Arial" w:hAnsi="Arial" w:cs="Arial"/>
                <w:sz w:val="15"/>
                <w:szCs w:val="15"/>
              </w:rPr>
              <w:t xml:space="preserve"> advice in the reporting of data breaches. </w:t>
            </w:r>
          </w:p>
        </w:tc>
        <w:tc>
          <w:tcPr>
            <w:tcW w:w="3554" w:type="dxa"/>
          </w:tcPr>
          <w:p w14:paraId="7F4FE43D" w14:textId="6F00B18B" w:rsidR="00755358" w:rsidRPr="002D24CB" w:rsidRDefault="00145F5B" w:rsidP="00755358">
            <w:pPr>
              <w:rPr>
                <w:rFonts w:ascii="Arial" w:hAnsi="Arial" w:cs="Arial"/>
                <w:sz w:val="15"/>
                <w:szCs w:val="15"/>
              </w:rPr>
            </w:pPr>
            <w:r>
              <w:rPr>
                <w:rFonts w:ascii="Arial" w:hAnsi="Arial" w:cs="Arial"/>
                <w:sz w:val="15"/>
                <w:szCs w:val="15"/>
              </w:rPr>
              <w:t>The organis</w:t>
            </w:r>
            <w:r w:rsidR="00C7523E">
              <w:rPr>
                <w:rFonts w:ascii="Arial" w:hAnsi="Arial" w:cs="Arial"/>
                <w:sz w:val="15"/>
                <w:szCs w:val="15"/>
              </w:rPr>
              <w:t>ation</w:t>
            </w:r>
            <w:r>
              <w:rPr>
                <w:rFonts w:ascii="Arial" w:hAnsi="Arial" w:cs="Arial"/>
                <w:sz w:val="15"/>
                <w:szCs w:val="15"/>
              </w:rPr>
              <w:t xml:space="preserve"> has in place a data breach response plan which includes defined reporting thresholds</w:t>
            </w:r>
            <w:r w:rsidR="00F936D8">
              <w:rPr>
                <w:rFonts w:ascii="Arial" w:hAnsi="Arial" w:cs="Arial"/>
                <w:sz w:val="15"/>
                <w:szCs w:val="15"/>
              </w:rPr>
              <w:t xml:space="preserve"> that are</w:t>
            </w:r>
            <w:r>
              <w:rPr>
                <w:rFonts w:ascii="Arial" w:hAnsi="Arial" w:cs="Arial"/>
                <w:sz w:val="15"/>
                <w:szCs w:val="15"/>
              </w:rPr>
              <w:t xml:space="preserve"> specific to the risks associated with the personal information held by the organisation and the format it is held in. Documented processes to follow in the event</w:t>
            </w:r>
            <w:r w:rsidR="008126A8">
              <w:rPr>
                <w:rFonts w:ascii="Arial" w:hAnsi="Arial" w:cs="Arial"/>
                <w:sz w:val="15"/>
                <w:szCs w:val="15"/>
              </w:rPr>
              <w:t xml:space="preserve"> of</w:t>
            </w:r>
            <w:r>
              <w:rPr>
                <w:rFonts w:ascii="Arial" w:hAnsi="Arial" w:cs="Arial"/>
                <w:sz w:val="15"/>
                <w:szCs w:val="15"/>
              </w:rPr>
              <w:t xml:space="preserve"> </w:t>
            </w:r>
            <w:r w:rsidR="008126A8">
              <w:rPr>
                <w:rFonts w:ascii="Arial" w:hAnsi="Arial" w:cs="Arial"/>
                <w:sz w:val="15"/>
                <w:szCs w:val="15"/>
              </w:rPr>
              <w:t>notification of</w:t>
            </w:r>
            <w:r>
              <w:rPr>
                <w:rFonts w:ascii="Arial" w:hAnsi="Arial" w:cs="Arial"/>
                <w:sz w:val="15"/>
                <w:szCs w:val="15"/>
              </w:rPr>
              <w:t xml:space="preserve"> a data breach are document</w:t>
            </w:r>
            <w:r w:rsidR="008126A8">
              <w:rPr>
                <w:rFonts w:ascii="Arial" w:hAnsi="Arial" w:cs="Arial"/>
                <w:sz w:val="15"/>
                <w:szCs w:val="15"/>
              </w:rPr>
              <w:t>ed</w:t>
            </w:r>
            <w:r>
              <w:rPr>
                <w:rFonts w:ascii="Arial" w:hAnsi="Arial" w:cs="Arial"/>
                <w:sz w:val="15"/>
                <w:szCs w:val="15"/>
              </w:rPr>
              <w:t xml:space="preserve"> and understood by all relevant staff. </w:t>
            </w:r>
          </w:p>
        </w:tc>
        <w:tc>
          <w:tcPr>
            <w:tcW w:w="3549" w:type="dxa"/>
          </w:tcPr>
          <w:p w14:paraId="36F3E45C" w14:textId="2AAAA664" w:rsidR="00755358" w:rsidRPr="002D24CB" w:rsidRDefault="008126A8" w:rsidP="00755358">
            <w:pPr>
              <w:rPr>
                <w:rFonts w:ascii="Arial" w:hAnsi="Arial" w:cs="Arial"/>
                <w:sz w:val="15"/>
                <w:szCs w:val="15"/>
              </w:rPr>
            </w:pPr>
            <w:r>
              <w:rPr>
                <w:rFonts w:ascii="Arial" w:hAnsi="Arial" w:cs="Arial"/>
                <w:sz w:val="15"/>
                <w:szCs w:val="15"/>
              </w:rPr>
              <w:t>A data breach response team is in place to ensure that the organisational data breach plan is followed in the event of a data breach, including notify</w:t>
            </w:r>
            <w:r w:rsidR="00BC4372">
              <w:rPr>
                <w:rFonts w:ascii="Arial" w:hAnsi="Arial" w:cs="Arial"/>
                <w:sz w:val="15"/>
                <w:szCs w:val="15"/>
              </w:rPr>
              <w:t>ing</w:t>
            </w:r>
            <w:r>
              <w:rPr>
                <w:rFonts w:ascii="Arial" w:hAnsi="Arial" w:cs="Arial"/>
                <w:sz w:val="15"/>
                <w:szCs w:val="15"/>
              </w:rPr>
              <w:t xml:space="preserve"> the IPC </w:t>
            </w:r>
            <w:r w:rsidR="00F936D8">
              <w:rPr>
                <w:rFonts w:ascii="Arial" w:hAnsi="Arial" w:cs="Arial"/>
                <w:sz w:val="15"/>
                <w:szCs w:val="15"/>
              </w:rPr>
              <w:t xml:space="preserve">NSW </w:t>
            </w:r>
            <w:r>
              <w:rPr>
                <w:rFonts w:ascii="Arial" w:hAnsi="Arial" w:cs="Arial"/>
                <w:sz w:val="15"/>
                <w:szCs w:val="15"/>
              </w:rPr>
              <w:t>of a data breach. Processes to respon</w:t>
            </w:r>
            <w:r w:rsidR="00F936D8">
              <w:rPr>
                <w:rFonts w:ascii="Arial" w:hAnsi="Arial" w:cs="Arial"/>
                <w:sz w:val="15"/>
                <w:szCs w:val="15"/>
              </w:rPr>
              <w:t>d</w:t>
            </w:r>
            <w:r>
              <w:rPr>
                <w:rFonts w:ascii="Arial" w:hAnsi="Arial" w:cs="Arial"/>
                <w:sz w:val="15"/>
                <w:szCs w:val="15"/>
              </w:rPr>
              <w:t xml:space="preserve"> to </w:t>
            </w:r>
            <w:r w:rsidR="00F936D8">
              <w:rPr>
                <w:rFonts w:ascii="Arial" w:hAnsi="Arial" w:cs="Arial"/>
                <w:sz w:val="15"/>
                <w:szCs w:val="15"/>
              </w:rPr>
              <w:t xml:space="preserve">a </w:t>
            </w:r>
            <w:r>
              <w:rPr>
                <w:rFonts w:ascii="Arial" w:hAnsi="Arial" w:cs="Arial"/>
                <w:sz w:val="15"/>
                <w:szCs w:val="15"/>
              </w:rPr>
              <w:t>data breach and the threshold for notification are regularly reviewed an</w:t>
            </w:r>
            <w:r w:rsidR="00F936D8">
              <w:rPr>
                <w:rFonts w:ascii="Arial" w:hAnsi="Arial" w:cs="Arial"/>
                <w:sz w:val="15"/>
                <w:szCs w:val="15"/>
              </w:rPr>
              <w:t>d</w:t>
            </w:r>
            <w:r>
              <w:rPr>
                <w:rFonts w:ascii="Arial" w:hAnsi="Arial" w:cs="Arial"/>
                <w:sz w:val="15"/>
                <w:szCs w:val="15"/>
              </w:rPr>
              <w:t xml:space="preserve"> improved, including after each data breach. </w:t>
            </w:r>
          </w:p>
        </w:tc>
      </w:tr>
      <w:tr w:rsidR="00755358" w:rsidRPr="002D24CB" w14:paraId="0979C2E5" w14:textId="77777777" w:rsidTr="003427F1">
        <w:trPr>
          <w:cantSplit/>
        </w:trPr>
        <w:tc>
          <w:tcPr>
            <w:tcW w:w="1378" w:type="dxa"/>
            <w:shd w:val="clear" w:color="auto" w:fill="222A35" w:themeFill="text2" w:themeFillShade="80"/>
          </w:tcPr>
          <w:p w14:paraId="34B1C616" w14:textId="41CD86A7" w:rsidR="00755358" w:rsidRPr="00584686" w:rsidRDefault="00755358" w:rsidP="00755358">
            <w:pPr>
              <w:rPr>
                <w:rFonts w:ascii="Arial" w:hAnsi="Arial" w:cs="Arial"/>
                <w:b/>
                <w:bCs/>
                <w:sz w:val="18"/>
                <w:szCs w:val="18"/>
              </w:rPr>
            </w:pPr>
            <w:r>
              <w:rPr>
                <w:rFonts w:ascii="Arial" w:hAnsi="Arial" w:cs="Arial"/>
                <w:b/>
                <w:bCs/>
                <w:sz w:val="18"/>
                <w:szCs w:val="18"/>
              </w:rPr>
              <w:t>Information Holdings</w:t>
            </w:r>
          </w:p>
        </w:tc>
        <w:tc>
          <w:tcPr>
            <w:tcW w:w="3553" w:type="dxa"/>
          </w:tcPr>
          <w:p w14:paraId="23091748" w14:textId="4B6C3827" w:rsidR="007E4638" w:rsidRPr="007E4638" w:rsidRDefault="0042470C" w:rsidP="007E4638">
            <w:pPr>
              <w:rPr>
                <w:rFonts w:ascii="Arial" w:hAnsi="Arial" w:cs="Arial"/>
                <w:sz w:val="15"/>
                <w:szCs w:val="15"/>
              </w:rPr>
            </w:pPr>
            <w:r>
              <w:rPr>
                <w:rFonts w:ascii="Arial" w:hAnsi="Arial" w:cs="Arial"/>
                <w:sz w:val="15"/>
                <w:szCs w:val="15"/>
              </w:rPr>
              <w:t xml:space="preserve">There is not a clear understanding of the full scope of personal information held by the organisation, or there are gaps in knowledge about where it is stored, what it is used for and who has access to it. Who has responsibility for personal </w:t>
            </w:r>
            <w:r w:rsidR="005A54C2">
              <w:rPr>
                <w:rFonts w:ascii="Arial" w:hAnsi="Arial" w:cs="Arial"/>
                <w:sz w:val="15"/>
                <w:szCs w:val="15"/>
              </w:rPr>
              <w:t xml:space="preserve">information </w:t>
            </w:r>
            <w:r>
              <w:rPr>
                <w:rFonts w:ascii="Arial" w:hAnsi="Arial" w:cs="Arial"/>
                <w:sz w:val="15"/>
                <w:szCs w:val="15"/>
              </w:rPr>
              <w:t xml:space="preserve">held by the organisation </w:t>
            </w:r>
            <w:r w:rsidR="00DF6421">
              <w:rPr>
                <w:rFonts w:ascii="Arial" w:hAnsi="Arial" w:cs="Arial"/>
                <w:sz w:val="15"/>
                <w:szCs w:val="15"/>
              </w:rPr>
              <w:t>is</w:t>
            </w:r>
            <w:r>
              <w:rPr>
                <w:rFonts w:ascii="Arial" w:hAnsi="Arial" w:cs="Arial"/>
                <w:sz w:val="15"/>
                <w:szCs w:val="15"/>
              </w:rPr>
              <w:t xml:space="preserve"> not clearly defined. </w:t>
            </w:r>
          </w:p>
        </w:tc>
        <w:tc>
          <w:tcPr>
            <w:tcW w:w="3554" w:type="dxa"/>
          </w:tcPr>
          <w:p w14:paraId="2ECEDE1A" w14:textId="58F7CCD7" w:rsidR="00755358" w:rsidRPr="002D24CB" w:rsidRDefault="00DF59BB" w:rsidP="00755358">
            <w:pPr>
              <w:rPr>
                <w:rFonts w:ascii="Arial" w:hAnsi="Arial" w:cs="Arial"/>
                <w:sz w:val="15"/>
                <w:szCs w:val="15"/>
              </w:rPr>
            </w:pPr>
            <w:r>
              <w:rPr>
                <w:rFonts w:ascii="Arial" w:hAnsi="Arial" w:cs="Arial"/>
                <w:sz w:val="15"/>
                <w:szCs w:val="15"/>
              </w:rPr>
              <w:t>The organisation has a</w:t>
            </w:r>
            <w:r w:rsidR="00DF6421">
              <w:rPr>
                <w:rFonts w:ascii="Arial" w:hAnsi="Arial" w:cs="Arial"/>
                <w:sz w:val="15"/>
                <w:szCs w:val="15"/>
              </w:rPr>
              <w:t xml:space="preserve"> clear</w:t>
            </w:r>
            <w:r>
              <w:rPr>
                <w:rFonts w:ascii="Arial" w:hAnsi="Arial" w:cs="Arial"/>
                <w:sz w:val="15"/>
                <w:szCs w:val="15"/>
              </w:rPr>
              <w:t xml:space="preserve"> understanding of </w:t>
            </w:r>
            <w:r w:rsidR="00DF6421">
              <w:rPr>
                <w:rFonts w:ascii="Arial" w:hAnsi="Arial" w:cs="Arial"/>
                <w:sz w:val="15"/>
                <w:szCs w:val="15"/>
              </w:rPr>
              <w:t>the</w:t>
            </w:r>
            <w:r>
              <w:rPr>
                <w:rFonts w:ascii="Arial" w:hAnsi="Arial" w:cs="Arial"/>
                <w:sz w:val="15"/>
                <w:szCs w:val="15"/>
              </w:rPr>
              <w:t xml:space="preserve"> personal information held, where it is stored</w:t>
            </w:r>
            <w:r w:rsidR="0042470C">
              <w:rPr>
                <w:rFonts w:ascii="Arial" w:hAnsi="Arial" w:cs="Arial"/>
                <w:sz w:val="15"/>
                <w:szCs w:val="15"/>
              </w:rPr>
              <w:t>,</w:t>
            </w:r>
            <w:r>
              <w:rPr>
                <w:rFonts w:ascii="Arial" w:hAnsi="Arial" w:cs="Arial"/>
                <w:sz w:val="15"/>
                <w:szCs w:val="15"/>
              </w:rPr>
              <w:t xml:space="preserve"> what it is used for and who has access to it. It is clearly </w:t>
            </w:r>
            <w:r w:rsidR="00330D64">
              <w:rPr>
                <w:rFonts w:ascii="Arial" w:hAnsi="Arial" w:cs="Arial"/>
                <w:sz w:val="15"/>
                <w:szCs w:val="15"/>
              </w:rPr>
              <w:t>defined</w:t>
            </w:r>
            <w:r>
              <w:rPr>
                <w:rFonts w:ascii="Arial" w:hAnsi="Arial" w:cs="Arial"/>
                <w:sz w:val="15"/>
                <w:szCs w:val="15"/>
              </w:rPr>
              <w:t xml:space="preserve"> who is responsible for the personal </w:t>
            </w:r>
            <w:r w:rsidR="005A54C2">
              <w:rPr>
                <w:rFonts w:ascii="Arial" w:hAnsi="Arial" w:cs="Arial"/>
                <w:sz w:val="15"/>
                <w:szCs w:val="15"/>
              </w:rPr>
              <w:t xml:space="preserve">information </w:t>
            </w:r>
            <w:r>
              <w:rPr>
                <w:rFonts w:ascii="Arial" w:hAnsi="Arial" w:cs="Arial"/>
                <w:sz w:val="15"/>
                <w:szCs w:val="15"/>
              </w:rPr>
              <w:t xml:space="preserve">held by the organisation. </w:t>
            </w:r>
          </w:p>
        </w:tc>
        <w:tc>
          <w:tcPr>
            <w:tcW w:w="3554" w:type="dxa"/>
          </w:tcPr>
          <w:p w14:paraId="091E7017" w14:textId="357A32E4" w:rsidR="00755358" w:rsidRPr="002D24CB" w:rsidRDefault="00600685" w:rsidP="00755358">
            <w:pPr>
              <w:rPr>
                <w:rFonts w:ascii="Arial" w:hAnsi="Arial" w:cs="Arial"/>
                <w:sz w:val="15"/>
                <w:szCs w:val="15"/>
              </w:rPr>
            </w:pPr>
            <w:r>
              <w:rPr>
                <w:rFonts w:ascii="Arial" w:hAnsi="Arial" w:cs="Arial"/>
                <w:sz w:val="15"/>
                <w:szCs w:val="15"/>
              </w:rPr>
              <w:t xml:space="preserve">Identification and management of personal information is integrated into wider organisational information classification and management functions. </w:t>
            </w:r>
            <w:r w:rsidR="000F68B6">
              <w:rPr>
                <w:rFonts w:ascii="Arial" w:hAnsi="Arial" w:cs="Arial"/>
                <w:sz w:val="15"/>
                <w:szCs w:val="15"/>
              </w:rPr>
              <w:t>The o</w:t>
            </w:r>
            <w:r>
              <w:rPr>
                <w:rFonts w:ascii="Arial" w:hAnsi="Arial" w:cs="Arial"/>
                <w:sz w:val="15"/>
                <w:szCs w:val="15"/>
              </w:rPr>
              <w:t>rganisation</w:t>
            </w:r>
            <w:r w:rsidR="00F936D8">
              <w:rPr>
                <w:rFonts w:ascii="Arial" w:hAnsi="Arial" w:cs="Arial"/>
                <w:sz w:val="15"/>
                <w:szCs w:val="15"/>
              </w:rPr>
              <w:t xml:space="preserve"> has</w:t>
            </w:r>
            <w:r>
              <w:rPr>
                <w:rFonts w:ascii="Arial" w:hAnsi="Arial" w:cs="Arial"/>
                <w:sz w:val="15"/>
                <w:szCs w:val="15"/>
              </w:rPr>
              <w:t xml:space="preserve"> a schematic view of the personal information it holds, where it is stored</w:t>
            </w:r>
            <w:r w:rsidR="0042470C">
              <w:rPr>
                <w:rFonts w:ascii="Arial" w:hAnsi="Arial" w:cs="Arial"/>
                <w:sz w:val="15"/>
                <w:szCs w:val="15"/>
              </w:rPr>
              <w:t>,</w:t>
            </w:r>
            <w:r>
              <w:rPr>
                <w:rFonts w:ascii="Arial" w:hAnsi="Arial" w:cs="Arial"/>
                <w:sz w:val="15"/>
                <w:szCs w:val="15"/>
              </w:rPr>
              <w:t xml:space="preserve"> </w:t>
            </w:r>
            <w:r w:rsidR="0042470C">
              <w:rPr>
                <w:rFonts w:ascii="Arial" w:hAnsi="Arial" w:cs="Arial"/>
                <w:sz w:val="15"/>
                <w:szCs w:val="15"/>
              </w:rPr>
              <w:t>and</w:t>
            </w:r>
            <w:r>
              <w:rPr>
                <w:rFonts w:ascii="Arial" w:hAnsi="Arial" w:cs="Arial"/>
                <w:sz w:val="15"/>
                <w:szCs w:val="15"/>
              </w:rPr>
              <w:t xml:space="preserve"> who has access to it. </w:t>
            </w:r>
            <w:r w:rsidR="0042470C">
              <w:rPr>
                <w:rFonts w:ascii="Arial" w:hAnsi="Arial" w:cs="Arial"/>
                <w:sz w:val="15"/>
                <w:szCs w:val="15"/>
              </w:rPr>
              <w:t xml:space="preserve">The purposes for each holding of personal information is clearly documented. </w:t>
            </w:r>
            <w:r>
              <w:rPr>
                <w:rFonts w:ascii="Arial" w:hAnsi="Arial" w:cs="Arial"/>
                <w:sz w:val="15"/>
                <w:szCs w:val="15"/>
              </w:rPr>
              <w:t xml:space="preserve">Responsibility of individuals over personal information is an explicit component of data governance arrangements. </w:t>
            </w:r>
          </w:p>
        </w:tc>
        <w:tc>
          <w:tcPr>
            <w:tcW w:w="3549" w:type="dxa"/>
          </w:tcPr>
          <w:p w14:paraId="6FBEE590" w14:textId="2BFF260D" w:rsidR="00755358" w:rsidRPr="002D24CB" w:rsidRDefault="0042470C" w:rsidP="00755358">
            <w:pPr>
              <w:rPr>
                <w:rFonts w:ascii="Arial" w:hAnsi="Arial" w:cs="Arial"/>
                <w:sz w:val="15"/>
                <w:szCs w:val="15"/>
              </w:rPr>
            </w:pPr>
            <w:r>
              <w:rPr>
                <w:rFonts w:ascii="Arial" w:hAnsi="Arial" w:cs="Arial"/>
                <w:sz w:val="15"/>
                <w:szCs w:val="15"/>
              </w:rPr>
              <w:t xml:space="preserve">The scope of personal </w:t>
            </w:r>
            <w:r w:rsidR="00374851">
              <w:rPr>
                <w:rFonts w:ascii="Arial" w:hAnsi="Arial" w:cs="Arial"/>
                <w:sz w:val="15"/>
                <w:szCs w:val="15"/>
              </w:rPr>
              <w:t xml:space="preserve">information </w:t>
            </w:r>
            <w:r>
              <w:rPr>
                <w:rFonts w:ascii="Arial" w:hAnsi="Arial" w:cs="Arial"/>
                <w:sz w:val="15"/>
                <w:szCs w:val="15"/>
              </w:rPr>
              <w:t xml:space="preserve">holdings is regularly reviewed as part of risk and audit management processes, which identify privacy risks and privacy-positive improvements that can be made to the extent of personal information held, how it is governed, how it is stored and accessed, and the purposes for which it is held. </w:t>
            </w:r>
          </w:p>
        </w:tc>
      </w:tr>
      <w:tr w:rsidR="00755358" w:rsidRPr="002D24CB" w14:paraId="57BC7913" w14:textId="77777777" w:rsidTr="003427F1">
        <w:trPr>
          <w:cantSplit/>
        </w:trPr>
        <w:tc>
          <w:tcPr>
            <w:tcW w:w="1378" w:type="dxa"/>
            <w:shd w:val="clear" w:color="auto" w:fill="222A35" w:themeFill="text2" w:themeFillShade="80"/>
          </w:tcPr>
          <w:p w14:paraId="1F368F27" w14:textId="08DAFF64" w:rsidR="00755358" w:rsidRPr="00584686" w:rsidRDefault="00755358" w:rsidP="00755358">
            <w:pPr>
              <w:rPr>
                <w:rFonts w:ascii="Arial" w:hAnsi="Arial" w:cs="Arial"/>
                <w:b/>
                <w:bCs/>
                <w:sz w:val="18"/>
                <w:szCs w:val="18"/>
              </w:rPr>
            </w:pPr>
            <w:r>
              <w:rPr>
                <w:rFonts w:ascii="Arial" w:hAnsi="Arial" w:cs="Arial"/>
                <w:b/>
                <w:bCs/>
                <w:sz w:val="18"/>
                <w:szCs w:val="18"/>
              </w:rPr>
              <w:lastRenderedPageBreak/>
              <w:t>Privacy Impact Assessments</w:t>
            </w:r>
          </w:p>
        </w:tc>
        <w:tc>
          <w:tcPr>
            <w:tcW w:w="3553" w:type="dxa"/>
          </w:tcPr>
          <w:p w14:paraId="0B1E9B58" w14:textId="60BD0935" w:rsidR="00755358" w:rsidRPr="002D24CB" w:rsidRDefault="00330D64" w:rsidP="00755358">
            <w:pPr>
              <w:rPr>
                <w:rFonts w:ascii="Arial" w:hAnsi="Arial" w:cs="Arial"/>
                <w:sz w:val="15"/>
                <w:szCs w:val="15"/>
              </w:rPr>
            </w:pPr>
            <w:r>
              <w:rPr>
                <w:rFonts w:ascii="Arial" w:hAnsi="Arial" w:cs="Arial"/>
                <w:sz w:val="15"/>
                <w:szCs w:val="15"/>
              </w:rPr>
              <w:t xml:space="preserve">Privacy impact assessments are not undertaken for new projects or where there is a significant change planned, or else they are </w:t>
            </w:r>
            <w:r w:rsidR="00DF6421">
              <w:rPr>
                <w:rFonts w:ascii="Arial" w:hAnsi="Arial" w:cs="Arial"/>
                <w:sz w:val="15"/>
                <w:szCs w:val="15"/>
              </w:rPr>
              <w:t>completed</w:t>
            </w:r>
            <w:r>
              <w:rPr>
                <w:rFonts w:ascii="Arial" w:hAnsi="Arial" w:cs="Arial"/>
                <w:sz w:val="15"/>
                <w:szCs w:val="15"/>
              </w:rPr>
              <w:t xml:space="preserve"> at a point where their outcomes can no longer influence project design and implementation.</w:t>
            </w:r>
          </w:p>
        </w:tc>
        <w:tc>
          <w:tcPr>
            <w:tcW w:w="3554" w:type="dxa"/>
          </w:tcPr>
          <w:p w14:paraId="303A4015" w14:textId="0B24A759" w:rsidR="00755358" w:rsidRPr="002D24CB" w:rsidRDefault="00330D64" w:rsidP="00755358">
            <w:pPr>
              <w:rPr>
                <w:rFonts w:ascii="Arial" w:hAnsi="Arial" w:cs="Arial"/>
                <w:sz w:val="15"/>
                <w:szCs w:val="15"/>
              </w:rPr>
            </w:pPr>
            <w:r>
              <w:rPr>
                <w:rFonts w:ascii="Arial" w:hAnsi="Arial" w:cs="Arial"/>
                <w:sz w:val="15"/>
                <w:szCs w:val="15"/>
              </w:rPr>
              <w:t xml:space="preserve">Privacy impact assessments are undertaken for new projects or where there is a significant change planned. The assessments are completed at a point where outcomes of the assessment can influence project design and implementation. </w:t>
            </w:r>
          </w:p>
        </w:tc>
        <w:tc>
          <w:tcPr>
            <w:tcW w:w="3554" w:type="dxa"/>
          </w:tcPr>
          <w:p w14:paraId="6DE19A7B" w14:textId="13A6A25D" w:rsidR="00755358" w:rsidRPr="002D24CB" w:rsidRDefault="00330D64" w:rsidP="00755358">
            <w:pPr>
              <w:rPr>
                <w:rFonts w:ascii="Arial" w:hAnsi="Arial" w:cs="Arial"/>
                <w:sz w:val="15"/>
                <w:szCs w:val="15"/>
              </w:rPr>
            </w:pPr>
            <w:r>
              <w:rPr>
                <w:rFonts w:ascii="Arial" w:hAnsi="Arial" w:cs="Arial"/>
                <w:sz w:val="15"/>
                <w:szCs w:val="15"/>
              </w:rPr>
              <w:t>There is documented guidance provided to project teams that communicate</w:t>
            </w:r>
            <w:r w:rsidR="0082693B">
              <w:rPr>
                <w:rFonts w:ascii="Arial" w:hAnsi="Arial" w:cs="Arial"/>
                <w:sz w:val="15"/>
                <w:szCs w:val="15"/>
              </w:rPr>
              <w:t>s</w:t>
            </w:r>
            <w:r>
              <w:rPr>
                <w:rFonts w:ascii="Arial" w:hAnsi="Arial" w:cs="Arial"/>
                <w:sz w:val="15"/>
                <w:szCs w:val="15"/>
              </w:rPr>
              <w:t xml:space="preserve"> the purpose and process for carrying out a privacy impact assessment for new projects or where there is a significant change planned. Incorporation of assessment outcomes into project design and implementation is </w:t>
            </w:r>
            <w:r w:rsidR="00F936D8">
              <w:rPr>
                <w:rFonts w:ascii="Arial" w:hAnsi="Arial" w:cs="Arial"/>
                <w:sz w:val="15"/>
                <w:szCs w:val="15"/>
              </w:rPr>
              <w:t xml:space="preserve">explicitly </w:t>
            </w:r>
            <w:r>
              <w:rPr>
                <w:rFonts w:ascii="Arial" w:hAnsi="Arial" w:cs="Arial"/>
                <w:sz w:val="15"/>
                <w:szCs w:val="15"/>
              </w:rPr>
              <w:t>include</w:t>
            </w:r>
            <w:r w:rsidR="00F936D8">
              <w:rPr>
                <w:rFonts w:ascii="Arial" w:hAnsi="Arial" w:cs="Arial"/>
                <w:sz w:val="15"/>
                <w:szCs w:val="15"/>
              </w:rPr>
              <w:t>d</w:t>
            </w:r>
            <w:r>
              <w:rPr>
                <w:rFonts w:ascii="Arial" w:hAnsi="Arial" w:cs="Arial"/>
                <w:sz w:val="15"/>
                <w:szCs w:val="15"/>
              </w:rPr>
              <w:t xml:space="preserve"> in project planning and management. Privacy impact assessments performed by the organisation are available to inform wider and future project teams. </w:t>
            </w:r>
          </w:p>
        </w:tc>
        <w:tc>
          <w:tcPr>
            <w:tcW w:w="3549" w:type="dxa"/>
          </w:tcPr>
          <w:p w14:paraId="02F04CBC" w14:textId="0EC53A3D" w:rsidR="00755358" w:rsidRPr="002D24CB" w:rsidRDefault="00330D64" w:rsidP="00755358">
            <w:pPr>
              <w:rPr>
                <w:rFonts w:ascii="Arial" w:hAnsi="Arial" w:cs="Arial"/>
                <w:sz w:val="15"/>
                <w:szCs w:val="15"/>
              </w:rPr>
            </w:pPr>
            <w:r>
              <w:rPr>
                <w:rFonts w:ascii="Arial" w:hAnsi="Arial" w:cs="Arial"/>
                <w:sz w:val="15"/>
                <w:szCs w:val="15"/>
              </w:rPr>
              <w:t>The performance of privacy impact assessments form part of a wider privacy-by-design approach, whereby privacy positive activities are built into projects</w:t>
            </w:r>
            <w:r w:rsidR="009238E1">
              <w:rPr>
                <w:rFonts w:ascii="Arial" w:hAnsi="Arial" w:cs="Arial"/>
                <w:sz w:val="15"/>
                <w:szCs w:val="15"/>
              </w:rPr>
              <w:t xml:space="preserve"> from initiation and planning</w:t>
            </w:r>
            <w:r w:rsidR="00F936D8">
              <w:rPr>
                <w:rFonts w:ascii="Arial" w:hAnsi="Arial" w:cs="Arial"/>
                <w:sz w:val="15"/>
                <w:szCs w:val="15"/>
              </w:rPr>
              <w:t xml:space="preserve"> through</w:t>
            </w:r>
            <w:r w:rsidR="009238E1">
              <w:rPr>
                <w:rFonts w:ascii="Arial" w:hAnsi="Arial" w:cs="Arial"/>
                <w:sz w:val="15"/>
                <w:szCs w:val="15"/>
              </w:rPr>
              <w:t xml:space="preserve"> to implementation and operation. Project teams are provided with specific training and guidance to follow a privacy-by-design approach. Privacy impact assessment outcomes are communicated through audit and risk committees and result in actions across the organisation that drive privacy improvements. </w:t>
            </w:r>
          </w:p>
        </w:tc>
      </w:tr>
      <w:tr w:rsidR="008D75D1" w:rsidRPr="002D24CB" w14:paraId="3D8BCC98" w14:textId="77777777" w:rsidTr="003427F1">
        <w:trPr>
          <w:cantSplit/>
        </w:trPr>
        <w:tc>
          <w:tcPr>
            <w:tcW w:w="1378" w:type="dxa"/>
            <w:shd w:val="clear" w:color="auto" w:fill="222A35" w:themeFill="text2" w:themeFillShade="80"/>
          </w:tcPr>
          <w:p w14:paraId="09CCC0F6" w14:textId="4FD7D29A" w:rsidR="008D75D1" w:rsidRPr="00584686" w:rsidRDefault="008D75D1" w:rsidP="008D75D1">
            <w:pPr>
              <w:rPr>
                <w:rFonts w:ascii="Arial" w:hAnsi="Arial" w:cs="Arial"/>
                <w:b/>
                <w:bCs/>
                <w:sz w:val="18"/>
                <w:szCs w:val="18"/>
              </w:rPr>
            </w:pPr>
            <w:r>
              <w:rPr>
                <w:rFonts w:ascii="Arial" w:hAnsi="Arial" w:cs="Arial"/>
                <w:b/>
                <w:bCs/>
                <w:sz w:val="18"/>
                <w:szCs w:val="18"/>
              </w:rPr>
              <w:t>Privacy Functions</w:t>
            </w:r>
          </w:p>
        </w:tc>
        <w:tc>
          <w:tcPr>
            <w:tcW w:w="3553" w:type="dxa"/>
          </w:tcPr>
          <w:p w14:paraId="0F135B90" w14:textId="3B844CAA" w:rsidR="008D75D1" w:rsidRPr="002D24CB" w:rsidRDefault="008D75D1" w:rsidP="008D75D1">
            <w:pPr>
              <w:rPr>
                <w:rFonts w:ascii="Arial" w:hAnsi="Arial" w:cs="Arial"/>
                <w:sz w:val="15"/>
                <w:szCs w:val="15"/>
              </w:rPr>
            </w:pPr>
            <w:r>
              <w:rPr>
                <w:rFonts w:ascii="Arial" w:hAnsi="Arial" w:cs="Arial"/>
                <w:sz w:val="15"/>
                <w:szCs w:val="15"/>
              </w:rPr>
              <w:t xml:space="preserve">Delegations and authorisation of functions as required in legislation are not in place. </w:t>
            </w:r>
          </w:p>
        </w:tc>
        <w:tc>
          <w:tcPr>
            <w:tcW w:w="3554" w:type="dxa"/>
          </w:tcPr>
          <w:p w14:paraId="74AC4DA5" w14:textId="1C05663E" w:rsidR="008D75D1" w:rsidRPr="002D24CB" w:rsidRDefault="008D75D1" w:rsidP="008D75D1">
            <w:pPr>
              <w:rPr>
                <w:rFonts w:ascii="Arial" w:hAnsi="Arial" w:cs="Arial"/>
                <w:sz w:val="15"/>
                <w:szCs w:val="15"/>
              </w:rPr>
            </w:pPr>
            <w:r>
              <w:rPr>
                <w:rFonts w:ascii="Arial" w:hAnsi="Arial" w:cs="Arial"/>
                <w:sz w:val="15"/>
                <w:szCs w:val="15"/>
              </w:rPr>
              <w:t>The organisation has in place t</w:t>
            </w:r>
            <w:r w:rsidR="00F936D8">
              <w:rPr>
                <w:rFonts w:ascii="Arial" w:hAnsi="Arial" w:cs="Arial"/>
                <w:sz w:val="15"/>
                <w:szCs w:val="15"/>
              </w:rPr>
              <w:t xml:space="preserve">he </w:t>
            </w:r>
            <w:r>
              <w:rPr>
                <w:rFonts w:ascii="Arial" w:hAnsi="Arial" w:cs="Arial"/>
                <w:sz w:val="15"/>
                <w:szCs w:val="15"/>
              </w:rPr>
              <w:t xml:space="preserve">delegations and authorisation of functions as required in legislation and publicised as required. </w:t>
            </w:r>
          </w:p>
        </w:tc>
        <w:tc>
          <w:tcPr>
            <w:tcW w:w="3554" w:type="dxa"/>
          </w:tcPr>
          <w:p w14:paraId="525F5CD0" w14:textId="7B1B08A9" w:rsidR="008D75D1" w:rsidRPr="002D24CB" w:rsidRDefault="008D75D1" w:rsidP="008D75D1">
            <w:pPr>
              <w:rPr>
                <w:rFonts w:ascii="Arial" w:hAnsi="Arial" w:cs="Arial"/>
                <w:sz w:val="15"/>
                <w:szCs w:val="15"/>
              </w:rPr>
            </w:pPr>
            <w:r>
              <w:rPr>
                <w:rFonts w:ascii="Arial" w:hAnsi="Arial" w:cs="Arial"/>
                <w:sz w:val="15"/>
                <w:szCs w:val="15"/>
              </w:rPr>
              <w:t xml:space="preserve">Delegations and </w:t>
            </w:r>
            <w:r w:rsidR="00215FB6">
              <w:rPr>
                <w:rFonts w:ascii="Arial" w:hAnsi="Arial" w:cs="Arial"/>
                <w:sz w:val="15"/>
                <w:szCs w:val="15"/>
              </w:rPr>
              <w:t xml:space="preserve">authorisation of </w:t>
            </w:r>
            <w:r>
              <w:rPr>
                <w:rFonts w:ascii="Arial" w:hAnsi="Arial" w:cs="Arial"/>
                <w:sz w:val="15"/>
                <w:szCs w:val="15"/>
              </w:rPr>
              <w:t>functions are in place and there are processes to regularly review these. The</w:t>
            </w:r>
            <w:r w:rsidR="00F936D8">
              <w:rPr>
                <w:rFonts w:ascii="Arial" w:hAnsi="Arial" w:cs="Arial"/>
                <w:sz w:val="15"/>
                <w:szCs w:val="15"/>
              </w:rPr>
              <w:t>r</w:t>
            </w:r>
            <w:r>
              <w:rPr>
                <w:rFonts w:ascii="Arial" w:hAnsi="Arial" w:cs="Arial"/>
                <w:sz w:val="15"/>
                <w:szCs w:val="15"/>
              </w:rPr>
              <w:t xml:space="preserve">e is an accessible record of the delegations and authorisations </w:t>
            </w:r>
            <w:r w:rsidR="00F936D8">
              <w:rPr>
                <w:rFonts w:ascii="Arial" w:hAnsi="Arial" w:cs="Arial"/>
                <w:sz w:val="15"/>
                <w:szCs w:val="15"/>
              </w:rPr>
              <w:t xml:space="preserve">that </w:t>
            </w:r>
            <w:r>
              <w:rPr>
                <w:rFonts w:ascii="Arial" w:hAnsi="Arial" w:cs="Arial"/>
                <w:sz w:val="15"/>
                <w:szCs w:val="15"/>
              </w:rPr>
              <w:t xml:space="preserve">exist and when they were last reviewed. </w:t>
            </w:r>
          </w:p>
        </w:tc>
        <w:tc>
          <w:tcPr>
            <w:tcW w:w="3549" w:type="dxa"/>
          </w:tcPr>
          <w:p w14:paraId="2F7884CF" w14:textId="6C5B51E6" w:rsidR="008D75D1" w:rsidRPr="002D24CB" w:rsidRDefault="008D75D1" w:rsidP="008D75D1">
            <w:pPr>
              <w:rPr>
                <w:rFonts w:ascii="Arial" w:hAnsi="Arial" w:cs="Arial"/>
                <w:sz w:val="15"/>
                <w:szCs w:val="15"/>
              </w:rPr>
            </w:pPr>
            <w:r>
              <w:rPr>
                <w:rFonts w:ascii="Arial" w:hAnsi="Arial" w:cs="Arial"/>
                <w:sz w:val="15"/>
                <w:szCs w:val="15"/>
              </w:rPr>
              <w:t xml:space="preserve">Privacy delegations </w:t>
            </w:r>
            <w:r w:rsidR="00064D00">
              <w:rPr>
                <w:rFonts w:ascii="Arial" w:hAnsi="Arial" w:cs="Arial"/>
                <w:sz w:val="15"/>
                <w:szCs w:val="15"/>
              </w:rPr>
              <w:t>and authorisation</w:t>
            </w:r>
            <w:r w:rsidR="00357FFD">
              <w:rPr>
                <w:rFonts w:ascii="Arial" w:hAnsi="Arial" w:cs="Arial"/>
                <w:sz w:val="15"/>
                <w:szCs w:val="15"/>
              </w:rPr>
              <w:t xml:space="preserve"> </w:t>
            </w:r>
            <w:r w:rsidR="004E5641">
              <w:rPr>
                <w:rFonts w:ascii="Arial" w:hAnsi="Arial" w:cs="Arial"/>
                <w:sz w:val="15"/>
                <w:szCs w:val="15"/>
              </w:rPr>
              <w:t xml:space="preserve">of </w:t>
            </w:r>
            <w:r>
              <w:rPr>
                <w:rFonts w:ascii="Arial" w:hAnsi="Arial" w:cs="Arial"/>
                <w:sz w:val="15"/>
                <w:szCs w:val="15"/>
              </w:rPr>
              <w:t xml:space="preserve">functions are considered as part of any structural changes to the organisation. Reviews of delegations and authorisations result in improvements that seek to address identified deficiencies, risks and issues in the management of personal information.  </w:t>
            </w:r>
          </w:p>
        </w:tc>
      </w:tr>
      <w:tr w:rsidR="00755358" w:rsidRPr="002D24CB" w14:paraId="688F5AA9" w14:textId="77777777" w:rsidTr="003427F1">
        <w:trPr>
          <w:cantSplit/>
        </w:trPr>
        <w:tc>
          <w:tcPr>
            <w:tcW w:w="1378" w:type="dxa"/>
            <w:shd w:val="clear" w:color="auto" w:fill="222A35" w:themeFill="text2" w:themeFillShade="80"/>
          </w:tcPr>
          <w:p w14:paraId="7ADD1C3E" w14:textId="3C89AE5C" w:rsidR="00755358" w:rsidRPr="00584686" w:rsidRDefault="00755358" w:rsidP="00755358">
            <w:pPr>
              <w:rPr>
                <w:rFonts w:ascii="Arial" w:hAnsi="Arial" w:cs="Arial"/>
                <w:b/>
                <w:bCs/>
                <w:sz w:val="18"/>
                <w:szCs w:val="18"/>
              </w:rPr>
            </w:pPr>
            <w:r>
              <w:rPr>
                <w:rFonts w:ascii="Arial" w:hAnsi="Arial" w:cs="Arial"/>
                <w:b/>
                <w:bCs/>
                <w:sz w:val="18"/>
                <w:szCs w:val="18"/>
              </w:rPr>
              <w:t>Privacy Management Plan</w:t>
            </w:r>
          </w:p>
        </w:tc>
        <w:tc>
          <w:tcPr>
            <w:tcW w:w="3553" w:type="dxa"/>
          </w:tcPr>
          <w:p w14:paraId="0F9169D7" w14:textId="64B4FACA" w:rsidR="00755358" w:rsidRPr="002D24CB" w:rsidRDefault="00DD6523" w:rsidP="00755358">
            <w:pPr>
              <w:rPr>
                <w:rFonts w:ascii="Arial" w:hAnsi="Arial" w:cs="Arial"/>
                <w:sz w:val="15"/>
                <w:szCs w:val="15"/>
              </w:rPr>
            </w:pPr>
            <w:r>
              <w:rPr>
                <w:rFonts w:ascii="Arial" w:hAnsi="Arial" w:cs="Arial"/>
                <w:sz w:val="15"/>
                <w:szCs w:val="15"/>
              </w:rPr>
              <w:t>A Privacy Management Plan has not been developed or else does not address all required inclusions</w:t>
            </w:r>
            <w:r w:rsidR="00230665">
              <w:rPr>
                <w:rFonts w:ascii="Arial" w:hAnsi="Arial" w:cs="Arial"/>
                <w:sz w:val="15"/>
                <w:szCs w:val="15"/>
              </w:rPr>
              <w:t xml:space="preserve"> or a Privacy Management Plan has been developed but a </w:t>
            </w:r>
            <w:r>
              <w:rPr>
                <w:rFonts w:ascii="Arial" w:hAnsi="Arial" w:cs="Arial"/>
                <w:sz w:val="15"/>
                <w:szCs w:val="15"/>
              </w:rPr>
              <w:t xml:space="preserve">copy of the plan has not been provided to </w:t>
            </w:r>
            <w:r w:rsidR="003B5BF0">
              <w:rPr>
                <w:rFonts w:ascii="Arial" w:hAnsi="Arial" w:cs="Arial"/>
                <w:sz w:val="15"/>
                <w:szCs w:val="15"/>
              </w:rPr>
              <w:t xml:space="preserve">the </w:t>
            </w:r>
            <w:r>
              <w:rPr>
                <w:rFonts w:ascii="Arial" w:hAnsi="Arial" w:cs="Arial"/>
                <w:sz w:val="15"/>
                <w:szCs w:val="15"/>
              </w:rPr>
              <w:t xml:space="preserve">IPC NSW.  </w:t>
            </w:r>
          </w:p>
        </w:tc>
        <w:tc>
          <w:tcPr>
            <w:tcW w:w="3554" w:type="dxa"/>
          </w:tcPr>
          <w:p w14:paraId="5896258F" w14:textId="548B674B" w:rsidR="00755358" w:rsidRPr="002D24CB" w:rsidRDefault="00DD6523" w:rsidP="00755358">
            <w:pPr>
              <w:rPr>
                <w:rFonts w:ascii="Arial" w:hAnsi="Arial" w:cs="Arial"/>
                <w:sz w:val="15"/>
                <w:szCs w:val="15"/>
              </w:rPr>
            </w:pPr>
            <w:r>
              <w:rPr>
                <w:rFonts w:ascii="Arial" w:hAnsi="Arial" w:cs="Arial"/>
                <w:sz w:val="15"/>
                <w:szCs w:val="15"/>
              </w:rPr>
              <w:t>A Privacy Management Plan has been developed and addresses all required inclusion</w:t>
            </w:r>
            <w:r w:rsidR="000707E4">
              <w:rPr>
                <w:rFonts w:ascii="Arial" w:hAnsi="Arial" w:cs="Arial"/>
                <w:sz w:val="15"/>
                <w:szCs w:val="15"/>
              </w:rPr>
              <w:t>s</w:t>
            </w:r>
            <w:r w:rsidR="00D80989">
              <w:rPr>
                <w:rFonts w:ascii="Arial" w:hAnsi="Arial" w:cs="Arial"/>
                <w:sz w:val="15"/>
                <w:szCs w:val="15"/>
              </w:rPr>
              <w:t xml:space="preserve"> and a</w:t>
            </w:r>
            <w:r>
              <w:rPr>
                <w:rFonts w:ascii="Arial" w:hAnsi="Arial" w:cs="Arial"/>
                <w:sz w:val="15"/>
                <w:szCs w:val="15"/>
              </w:rPr>
              <w:t xml:space="preserve"> copy of the plan has been provided to </w:t>
            </w:r>
            <w:r w:rsidR="00C848EE">
              <w:rPr>
                <w:rFonts w:ascii="Arial" w:hAnsi="Arial" w:cs="Arial"/>
                <w:sz w:val="15"/>
                <w:szCs w:val="15"/>
              </w:rPr>
              <w:t xml:space="preserve">the </w:t>
            </w:r>
            <w:r>
              <w:rPr>
                <w:rFonts w:ascii="Arial" w:hAnsi="Arial" w:cs="Arial"/>
                <w:sz w:val="15"/>
                <w:szCs w:val="15"/>
              </w:rPr>
              <w:t xml:space="preserve">IPC NSW.  </w:t>
            </w:r>
          </w:p>
        </w:tc>
        <w:tc>
          <w:tcPr>
            <w:tcW w:w="3554" w:type="dxa"/>
          </w:tcPr>
          <w:p w14:paraId="13146440" w14:textId="33F7EA66" w:rsidR="00755358" w:rsidRPr="002D24CB" w:rsidRDefault="00DD6523" w:rsidP="00755358">
            <w:pPr>
              <w:rPr>
                <w:rFonts w:ascii="Arial" w:hAnsi="Arial" w:cs="Arial"/>
                <w:sz w:val="15"/>
                <w:szCs w:val="15"/>
              </w:rPr>
            </w:pPr>
            <w:r>
              <w:rPr>
                <w:rFonts w:ascii="Arial" w:hAnsi="Arial" w:cs="Arial"/>
                <w:sz w:val="15"/>
                <w:szCs w:val="15"/>
              </w:rPr>
              <w:t>There are processes in place to ensure that the Privacy Management Plan is complete</w:t>
            </w:r>
            <w:r w:rsidR="00F936D8">
              <w:rPr>
                <w:rFonts w:ascii="Arial" w:hAnsi="Arial" w:cs="Arial"/>
                <w:sz w:val="15"/>
                <w:szCs w:val="15"/>
              </w:rPr>
              <w:t>,</w:t>
            </w:r>
            <w:r>
              <w:rPr>
                <w:rFonts w:ascii="Arial" w:hAnsi="Arial" w:cs="Arial"/>
                <w:sz w:val="15"/>
                <w:szCs w:val="15"/>
              </w:rPr>
              <w:t xml:space="preserve"> reflects the current state of the organisation,</w:t>
            </w:r>
            <w:r w:rsidR="00F936D8">
              <w:rPr>
                <w:rFonts w:ascii="Arial" w:hAnsi="Arial" w:cs="Arial"/>
                <w:sz w:val="15"/>
                <w:szCs w:val="15"/>
              </w:rPr>
              <w:t xml:space="preserve"> and has</w:t>
            </w:r>
            <w:r>
              <w:rPr>
                <w:rFonts w:ascii="Arial" w:hAnsi="Arial" w:cs="Arial"/>
                <w:sz w:val="15"/>
                <w:szCs w:val="15"/>
              </w:rPr>
              <w:t xml:space="preserve"> periodic reviews. Processes include providing </w:t>
            </w:r>
            <w:r w:rsidR="00C848EE">
              <w:rPr>
                <w:rFonts w:ascii="Arial" w:hAnsi="Arial" w:cs="Arial"/>
                <w:sz w:val="15"/>
                <w:szCs w:val="15"/>
              </w:rPr>
              <w:t xml:space="preserve">the </w:t>
            </w:r>
            <w:r>
              <w:rPr>
                <w:rFonts w:ascii="Arial" w:hAnsi="Arial" w:cs="Arial"/>
                <w:sz w:val="15"/>
                <w:szCs w:val="15"/>
              </w:rPr>
              <w:t>IPC NSW with a copy of the plan whenever updates or other changes are made, as well as making the current plan available through the organisation’s website and by request.</w:t>
            </w:r>
          </w:p>
        </w:tc>
        <w:tc>
          <w:tcPr>
            <w:tcW w:w="3549" w:type="dxa"/>
          </w:tcPr>
          <w:p w14:paraId="1056AF4A" w14:textId="42FFA6F6" w:rsidR="00755358" w:rsidRPr="002D24CB" w:rsidRDefault="00DD6523" w:rsidP="00755358">
            <w:pPr>
              <w:rPr>
                <w:rFonts w:ascii="Arial" w:hAnsi="Arial" w:cs="Arial"/>
                <w:sz w:val="15"/>
                <w:szCs w:val="15"/>
              </w:rPr>
            </w:pPr>
            <w:r>
              <w:rPr>
                <w:rFonts w:ascii="Arial" w:hAnsi="Arial" w:cs="Arial"/>
                <w:sz w:val="15"/>
                <w:szCs w:val="15"/>
              </w:rPr>
              <w:t xml:space="preserve">The </w:t>
            </w:r>
            <w:r w:rsidR="00C848EE">
              <w:rPr>
                <w:rFonts w:ascii="Arial" w:hAnsi="Arial" w:cs="Arial"/>
                <w:sz w:val="15"/>
                <w:szCs w:val="15"/>
              </w:rPr>
              <w:t>P</w:t>
            </w:r>
            <w:r>
              <w:rPr>
                <w:rFonts w:ascii="Arial" w:hAnsi="Arial" w:cs="Arial"/>
                <w:sz w:val="15"/>
                <w:szCs w:val="15"/>
              </w:rPr>
              <w:t xml:space="preserve">rivacy </w:t>
            </w:r>
            <w:r w:rsidR="00C848EE">
              <w:rPr>
                <w:rFonts w:ascii="Arial" w:hAnsi="Arial" w:cs="Arial"/>
                <w:sz w:val="15"/>
                <w:szCs w:val="15"/>
              </w:rPr>
              <w:t>M</w:t>
            </w:r>
            <w:r>
              <w:rPr>
                <w:rFonts w:ascii="Arial" w:hAnsi="Arial" w:cs="Arial"/>
                <w:sz w:val="15"/>
                <w:szCs w:val="15"/>
              </w:rPr>
              <w:t xml:space="preserve">anagement </w:t>
            </w:r>
            <w:r w:rsidR="00C848EE">
              <w:rPr>
                <w:rFonts w:ascii="Arial" w:hAnsi="Arial" w:cs="Arial"/>
                <w:sz w:val="15"/>
                <w:szCs w:val="15"/>
              </w:rPr>
              <w:t>P</w:t>
            </w:r>
            <w:r>
              <w:rPr>
                <w:rFonts w:ascii="Arial" w:hAnsi="Arial" w:cs="Arial"/>
                <w:sz w:val="15"/>
                <w:szCs w:val="15"/>
              </w:rPr>
              <w:t>lan is used as a key reference in areas such as data management, training and onboarding, and strategic planning. The organisation has in place processes to ensure tha</w:t>
            </w:r>
            <w:r w:rsidR="00C848EE">
              <w:rPr>
                <w:rFonts w:ascii="Arial" w:hAnsi="Arial" w:cs="Arial"/>
                <w:sz w:val="15"/>
                <w:szCs w:val="15"/>
              </w:rPr>
              <w:t>t</w:t>
            </w:r>
            <w:r>
              <w:rPr>
                <w:rFonts w:ascii="Arial" w:hAnsi="Arial" w:cs="Arial"/>
                <w:sz w:val="15"/>
                <w:szCs w:val="15"/>
              </w:rPr>
              <w:t xml:space="preserve"> any activities, actions or reviews that affect privacy trigger a review and update to the plan. Processes include providing </w:t>
            </w:r>
            <w:r w:rsidR="00C848EE">
              <w:rPr>
                <w:rFonts w:ascii="Arial" w:hAnsi="Arial" w:cs="Arial"/>
                <w:sz w:val="15"/>
                <w:szCs w:val="15"/>
              </w:rPr>
              <w:t xml:space="preserve">the </w:t>
            </w:r>
            <w:r>
              <w:rPr>
                <w:rFonts w:ascii="Arial" w:hAnsi="Arial" w:cs="Arial"/>
                <w:sz w:val="15"/>
                <w:szCs w:val="15"/>
              </w:rPr>
              <w:t>IPC NSW with a copy of the plan whenever updates or other changes are made, as well as making the current plan available through the organisation’s website and by request.</w:t>
            </w:r>
          </w:p>
        </w:tc>
      </w:tr>
      <w:tr w:rsidR="00DA18E1" w:rsidRPr="002D24CB" w14:paraId="1F4B0FB3" w14:textId="77777777" w:rsidTr="003427F1">
        <w:trPr>
          <w:cantSplit/>
        </w:trPr>
        <w:tc>
          <w:tcPr>
            <w:tcW w:w="1378" w:type="dxa"/>
            <w:shd w:val="clear" w:color="auto" w:fill="222A35" w:themeFill="text2" w:themeFillShade="80"/>
          </w:tcPr>
          <w:p w14:paraId="074DE8BA" w14:textId="552056BC" w:rsidR="00DA18E1" w:rsidRPr="00584686" w:rsidRDefault="00DA18E1" w:rsidP="00755358">
            <w:pPr>
              <w:rPr>
                <w:rFonts w:ascii="Arial" w:hAnsi="Arial" w:cs="Arial"/>
                <w:b/>
                <w:bCs/>
                <w:sz w:val="18"/>
                <w:szCs w:val="18"/>
              </w:rPr>
            </w:pPr>
            <w:r>
              <w:rPr>
                <w:rFonts w:ascii="Arial" w:hAnsi="Arial" w:cs="Arial"/>
                <w:b/>
                <w:bCs/>
                <w:sz w:val="18"/>
                <w:szCs w:val="18"/>
              </w:rPr>
              <w:t>Internal Reviews</w:t>
            </w:r>
          </w:p>
        </w:tc>
        <w:tc>
          <w:tcPr>
            <w:tcW w:w="3553" w:type="dxa"/>
          </w:tcPr>
          <w:p w14:paraId="52E5CA90" w14:textId="466ED0BF" w:rsidR="00DA18E1" w:rsidRPr="002D24CB" w:rsidRDefault="00DA18E1" w:rsidP="00755358">
            <w:pPr>
              <w:rPr>
                <w:rFonts w:ascii="Arial" w:hAnsi="Arial" w:cs="Arial"/>
                <w:sz w:val="15"/>
                <w:szCs w:val="15"/>
              </w:rPr>
            </w:pPr>
            <w:r>
              <w:rPr>
                <w:rFonts w:ascii="Arial" w:hAnsi="Arial" w:cs="Arial"/>
                <w:sz w:val="15"/>
                <w:szCs w:val="15"/>
              </w:rPr>
              <w:t xml:space="preserve">There is no process in place to perform an internal review in a timely manner when an application is received. Individuals conducting the review are external to the organisation, are not suitably qualified to deal with the subject of complaint or are involved some way in the original matter. Timings for completion of the review and notification to applicants are not in line with legislative requirements. </w:t>
            </w:r>
          </w:p>
        </w:tc>
        <w:tc>
          <w:tcPr>
            <w:tcW w:w="3554" w:type="dxa"/>
          </w:tcPr>
          <w:p w14:paraId="5498C97B" w14:textId="74D44E3F" w:rsidR="00DA18E1" w:rsidRPr="002D24CB" w:rsidRDefault="00DA18E1" w:rsidP="00755358">
            <w:pPr>
              <w:rPr>
                <w:rFonts w:ascii="Arial" w:hAnsi="Arial" w:cs="Arial"/>
                <w:sz w:val="15"/>
                <w:szCs w:val="15"/>
              </w:rPr>
            </w:pPr>
            <w:r>
              <w:rPr>
                <w:rFonts w:ascii="Arial" w:hAnsi="Arial" w:cs="Arial"/>
                <w:sz w:val="15"/>
                <w:szCs w:val="15"/>
              </w:rPr>
              <w:t>A process is in place to perform an internal review in a timely manner when an application is received. R</w:t>
            </w:r>
            <w:r w:rsidRPr="00916165">
              <w:rPr>
                <w:rFonts w:ascii="Arial" w:hAnsi="Arial" w:cs="Arial"/>
                <w:sz w:val="15"/>
                <w:szCs w:val="15"/>
              </w:rPr>
              <w:t>eviews are undertaken by an individual within the agency who is directed by the agency to deal with the application, is suitably qualified to deal with the subject of the complaint and was not involved in any way in the original matter</w:t>
            </w:r>
            <w:r>
              <w:rPr>
                <w:rFonts w:ascii="Arial" w:hAnsi="Arial" w:cs="Arial"/>
                <w:sz w:val="15"/>
                <w:szCs w:val="15"/>
              </w:rPr>
              <w:t xml:space="preserve">. Timings for completion and notifications of reviews are in line with legislative requirements. </w:t>
            </w:r>
          </w:p>
        </w:tc>
        <w:tc>
          <w:tcPr>
            <w:tcW w:w="7103" w:type="dxa"/>
            <w:gridSpan w:val="2"/>
          </w:tcPr>
          <w:p w14:paraId="1E64E251" w14:textId="2E4AE25F" w:rsidR="00DA18E1" w:rsidRPr="002D24CB" w:rsidRDefault="00DA18E1" w:rsidP="00755358">
            <w:pPr>
              <w:rPr>
                <w:rFonts w:ascii="Arial" w:hAnsi="Arial" w:cs="Arial"/>
                <w:sz w:val="15"/>
                <w:szCs w:val="15"/>
              </w:rPr>
            </w:pPr>
            <w:r>
              <w:rPr>
                <w:rFonts w:ascii="Arial" w:hAnsi="Arial" w:cs="Arial"/>
                <w:sz w:val="15"/>
                <w:szCs w:val="15"/>
              </w:rPr>
              <w:t>A structured process to respond to and manage requests for internal reviews is in place. The roles and responsibilities for undertaking a review – including the identification and nomination of qualified individuals – are clearly defined and communicated in regular staff training sessions. The reviews process includes i</w:t>
            </w:r>
            <w:r w:rsidRPr="00BF100C">
              <w:rPr>
                <w:rFonts w:ascii="Arial" w:hAnsi="Arial" w:cs="Arial"/>
                <w:sz w:val="15"/>
                <w:szCs w:val="15"/>
              </w:rPr>
              <w:t>dentif</w:t>
            </w:r>
            <w:r>
              <w:rPr>
                <w:rFonts w:ascii="Arial" w:hAnsi="Arial" w:cs="Arial"/>
                <w:sz w:val="15"/>
                <w:szCs w:val="15"/>
              </w:rPr>
              <w:t>ying clear</w:t>
            </w:r>
            <w:r w:rsidRPr="00BF100C">
              <w:rPr>
                <w:rFonts w:ascii="Arial" w:hAnsi="Arial" w:cs="Arial"/>
                <w:sz w:val="15"/>
                <w:szCs w:val="15"/>
              </w:rPr>
              <w:t xml:space="preserve"> remedial actions that should be implemented and monitor</w:t>
            </w:r>
            <w:r>
              <w:rPr>
                <w:rFonts w:ascii="Arial" w:hAnsi="Arial" w:cs="Arial"/>
                <w:sz w:val="15"/>
                <w:szCs w:val="15"/>
              </w:rPr>
              <w:t>ing</w:t>
            </w:r>
            <w:r w:rsidRPr="00BF100C">
              <w:rPr>
                <w:rFonts w:ascii="Arial" w:hAnsi="Arial" w:cs="Arial"/>
                <w:sz w:val="15"/>
                <w:szCs w:val="15"/>
              </w:rPr>
              <w:t xml:space="preserve"> to ensure that these occur. </w:t>
            </w:r>
            <w:r>
              <w:rPr>
                <w:rFonts w:ascii="Arial" w:hAnsi="Arial" w:cs="Arial"/>
                <w:sz w:val="15"/>
                <w:szCs w:val="15"/>
              </w:rPr>
              <w:t xml:space="preserve">There is oversight in place to ensure completion of the review and notification to the applicant occur as soon as possible and well within legislative requirements. </w:t>
            </w:r>
          </w:p>
        </w:tc>
      </w:tr>
    </w:tbl>
    <w:p w14:paraId="10264E7C" w14:textId="77777777" w:rsidR="007E67CD" w:rsidRDefault="007E67CD" w:rsidP="001C0481"/>
    <w:sectPr w:rsidR="007E67CD" w:rsidSect="001C0481">
      <w:footerReference w:type="even" r:id="rId10"/>
      <w:footerReference w:type="default" r:id="rId11"/>
      <w:pgSz w:w="16840" w:h="11900" w:orient="landscape"/>
      <w:pgMar w:top="488" w:right="1440" w:bottom="1440"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307B" w14:textId="77777777" w:rsidR="00B85DE8" w:rsidRDefault="00B85DE8" w:rsidP="007E4638">
      <w:r>
        <w:separator/>
      </w:r>
    </w:p>
  </w:endnote>
  <w:endnote w:type="continuationSeparator" w:id="0">
    <w:p w14:paraId="4F79FE8E" w14:textId="77777777" w:rsidR="00B85DE8" w:rsidRDefault="00B85DE8" w:rsidP="007E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7407760"/>
      <w:docPartObj>
        <w:docPartGallery w:val="Page Numbers (Bottom of Page)"/>
        <w:docPartUnique/>
      </w:docPartObj>
    </w:sdtPr>
    <w:sdtContent>
      <w:p w14:paraId="1B480DC5" w14:textId="0E56DE0D" w:rsidR="007E4638" w:rsidRDefault="007E4638" w:rsidP="002B71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1A1FD0" w14:textId="77777777" w:rsidR="007E4638" w:rsidRDefault="007E4638" w:rsidP="007E463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0806461"/>
      <w:docPartObj>
        <w:docPartGallery w:val="Page Numbers (Bottom of Page)"/>
        <w:docPartUnique/>
      </w:docPartObj>
    </w:sdtPr>
    <w:sdtContent>
      <w:p w14:paraId="3477E503" w14:textId="5F63789D" w:rsidR="007E4638" w:rsidRDefault="007E4638" w:rsidP="002B71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9C44D3" w14:textId="77777777" w:rsidR="007E4638" w:rsidRDefault="007E4638" w:rsidP="007E463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D952" w14:textId="77777777" w:rsidR="00B85DE8" w:rsidRDefault="00B85DE8" w:rsidP="007E4638">
      <w:r>
        <w:separator/>
      </w:r>
    </w:p>
  </w:footnote>
  <w:footnote w:type="continuationSeparator" w:id="0">
    <w:p w14:paraId="6B5B55E9" w14:textId="77777777" w:rsidR="00B85DE8" w:rsidRDefault="00B85DE8" w:rsidP="007E4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81"/>
    <w:rsid w:val="00005C47"/>
    <w:rsid w:val="00046D55"/>
    <w:rsid w:val="00064D00"/>
    <w:rsid w:val="000707E4"/>
    <w:rsid w:val="00084985"/>
    <w:rsid w:val="00084ADF"/>
    <w:rsid w:val="0009158B"/>
    <w:rsid w:val="000A1CD9"/>
    <w:rsid w:val="000B2963"/>
    <w:rsid w:val="000F68B6"/>
    <w:rsid w:val="00145F5B"/>
    <w:rsid w:val="001C0481"/>
    <w:rsid w:val="001C0EBC"/>
    <w:rsid w:val="001D01F9"/>
    <w:rsid w:val="001E5510"/>
    <w:rsid w:val="001E6537"/>
    <w:rsid w:val="002055E0"/>
    <w:rsid w:val="00215FB6"/>
    <w:rsid w:val="00230665"/>
    <w:rsid w:val="00245EFD"/>
    <w:rsid w:val="002B7888"/>
    <w:rsid w:val="002D24CB"/>
    <w:rsid w:val="003129BF"/>
    <w:rsid w:val="00313ADD"/>
    <w:rsid w:val="00330D64"/>
    <w:rsid w:val="003427F1"/>
    <w:rsid w:val="00357FFD"/>
    <w:rsid w:val="00374851"/>
    <w:rsid w:val="00380FB6"/>
    <w:rsid w:val="00392E13"/>
    <w:rsid w:val="003B5BF0"/>
    <w:rsid w:val="003D1524"/>
    <w:rsid w:val="003F2E14"/>
    <w:rsid w:val="00421B0B"/>
    <w:rsid w:val="0042470C"/>
    <w:rsid w:val="004733A4"/>
    <w:rsid w:val="00477725"/>
    <w:rsid w:val="00494720"/>
    <w:rsid w:val="00494D5A"/>
    <w:rsid w:val="004D64B2"/>
    <w:rsid w:val="004E5641"/>
    <w:rsid w:val="005426F4"/>
    <w:rsid w:val="00575801"/>
    <w:rsid w:val="00584686"/>
    <w:rsid w:val="00586A86"/>
    <w:rsid w:val="005A54C2"/>
    <w:rsid w:val="005A5CC5"/>
    <w:rsid w:val="005A6977"/>
    <w:rsid w:val="005B2489"/>
    <w:rsid w:val="005C177D"/>
    <w:rsid w:val="00600685"/>
    <w:rsid w:val="00602D68"/>
    <w:rsid w:val="00615C66"/>
    <w:rsid w:val="006402AA"/>
    <w:rsid w:val="00641F16"/>
    <w:rsid w:val="0064240C"/>
    <w:rsid w:val="006A1656"/>
    <w:rsid w:val="006B041C"/>
    <w:rsid w:val="007029FD"/>
    <w:rsid w:val="007255D9"/>
    <w:rsid w:val="0073249A"/>
    <w:rsid w:val="00755358"/>
    <w:rsid w:val="0078408E"/>
    <w:rsid w:val="00792E24"/>
    <w:rsid w:val="007E4638"/>
    <w:rsid w:val="007E67CD"/>
    <w:rsid w:val="007F75E8"/>
    <w:rsid w:val="00805123"/>
    <w:rsid w:val="00807376"/>
    <w:rsid w:val="00812117"/>
    <w:rsid w:val="008126A8"/>
    <w:rsid w:val="0082693B"/>
    <w:rsid w:val="008449A9"/>
    <w:rsid w:val="00856C95"/>
    <w:rsid w:val="008833B5"/>
    <w:rsid w:val="008A26E2"/>
    <w:rsid w:val="008B437C"/>
    <w:rsid w:val="008C286F"/>
    <w:rsid w:val="008D75D1"/>
    <w:rsid w:val="00905BDD"/>
    <w:rsid w:val="00916165"/>
    <w:rsid w:val="009238E1"/>
    <w:rsid w:val="00926699"/>
    <w:rsid w:val="009433EE"/>
    <w:rsid w:val="0095254A"/>
    <w:rsid w:val="00956D3A"/>
    <w:rsid w:val="0096257A"/>
    <w:rsid w:val="009B362E"/>
    <w:rsid w:val="009B5E5F"/>
    <w:rsid w:val="009C7B53"/>
    <w:rsid w:val="009D3234"/>
    <w:rsid w:val="009E5CA7"/>
    <w:rsid w:val="00AD56CF"/>
    <w:rsid w:val="00AE4F5E"/>
    <w:rsid w:val="00B12A24"/>
    <w:rsid w:val="00B328A7"/>
    <w:rsid w:val="00B66870"/>
    <w:rsid w:val="00B674D1"/>
    <w:rsid w:val="00B70D8F"/>
    <w:rsid w:val="00B71DDC"/>
    <w:rsid w:val="00B85DE8"/>
    <w:rsid w:val="00B923B8"/>
    <w:rsid w:val="00BC4372"/>
    <w:rsid w:val="00BC53EE"/>
    <w:rsid w:val="00BF08FD"/>
    <w:rsid w:val="00BF100C"/>
    <w:rsid w:val="00C03422"/>
    <w:rsid w:val="00C7523E"/>
    <w:rsid w:val="00C848EE"/>
    <w:rsid w:val="00CA2338"/>
    <w:rsid w:val="00CC3748"/>
    <w:rsid w:val="00CD2C11"/>
    <w:rsid w:val="00CF1CE6"/>
    <w:rsid w:val="00CF5E05"/>
    <w:rsid w:val="00D0310C"/>
    <w:rsid w:val="00D05379"/>
    <w:rsid w:val="00D45A1E"/>
    <w:rsid w:val="00D45BCE"/>
    <w:rsid w:val="00D65745"/>
    <w:rsid w:val="00D80989"/>
    <w:rsid w:val="00DA18E1"/>
    <w:rsid w:val="00DC04CA"/>
    <w:rsid w:val="00DC7200"/>
    <w:rsid w:val="00DD6523"/>
    <w:rsid w:val="00DF59BB"/>
    <w:rsid w:val="00DF6421"/>
    <w:rsid w:val="00E14D5C"/>
    <w:rsid w:val="00E26270"/>
    <w:rsid w:val="00E37D30"/>
    <w:rsid w:val="00E54311"/>
    <w:rsid w:val="00EB630A"/>
    <w:rsid w:val="00EE6295"/>
    <w:rsid w:val="00F10AF5"/>
    <w:rsid w:val="00F2153F"/>
    <w:rsid w:val="00F704C3"/>
    <w:rsid w:val="00F72208"/>
    <w:rsid w:val="00F925A3"/>
    <w:rsid w:val="00F936D8"/>
    <w:rsid w:val="00FD3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0A46"/>
  <w15:chartTrackingRefBased/>
  <w15:docId w15:val="{511DBC07-443D-BB4B-A28C-5EF515EF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7F1"/>
    <w:pPr>
      <w:keepNext/>
      <w:keepLines/>
      <w:spacing w:before="240"/>
      <w:outlineLvl w:val="0"/>
    </w:pPr>
    <w:rPr>
      <w:rFonts w:asciiTheme="majorHAnsi" w:eastAsiaTheme="majorEastAsia" w:hAnsiTheme="majorHAnsi" w:cstheme="majorBidi"/>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699"/>
    <w:rPr>
      <w:sz w:val="16"/>
      <w:szCs w:val="16"/>
    </w:rPr>
  </w:style>
  <w:style w:type="paragraph" w:styleId="CommentText">
    <w:name w:val="annotation text"/>
    <w:basedOn w:val="Normal"/>
    <w:link w:val="CommentTextChar"/>
    <w:uiPriority w:val="99"/>
    <w:semiHidden/>
    <w:unhideWhenUsed/>
    <w:rsid w:val="00926699"/>
    <w:rPr>
      <w:sz w:val="20"/>
      <w:szCs w:val="20"/>
    </w:rPr>
  </w:style>
  <w:style w:type="character" w:customStyle="1" w:styleId="CommentTextChar">
    <w:name w:val="Comment Text Char"/>
    <w:basedOn w:val="DefaultParagraphFont"/>
    <w:link w:val="CommentText"/>
    <w:uiPriority w:val="99"/>
    <w:semiHidden/>
    <w:rsid w:val="00926699"/>
    <w:rPr>
      <w:sz w:val="20"/>
      <w:szCs w:val="20"/>
    </w:rPr>
  </w:style>
  <w:style w:type="paragraph" w:styleId="CommentSubject">
    <w:name w:val="annotation subject"/>
    <w:basedOn w:val="CommentText"/>
    <w:next w:val="CommentText"/>
    <w:link w:val="CommentSubjectChar"/>
    <w:uiPriority w:val="99"/>
    <w:semiHidden/>
    <w:unhideWhenUsed/>
    <w:rsid w:val="00926699"/>
    <w:rPr>
      <w:b/>
      <w:bCs/>
    </w:rPr>
  </w:style>
  <w:style w:type="character" w:customStyle="1" w:styleId="CommentSubjectChar">
    <w:name w:val="Comment Subject Char"/>
    <w:basedOn w:val="CommentTextChar"/>
    <w:link w:val="CommentSubject"/>
    <w:uiPriority w:val="99"/>
    <w:semiHidden/>
    <w:rsid w:val="00926699"/>
    <w:rPr>
      <w:b/>
      <w:bCs/>
      <w:sz w:val="20"/>
      <w:szCs w:val="20"/>
    </w:rPr>
  </w:style>
  <w:style w:type="paragraph" w:styleId="Revision">
    <w:name w:val="Revision"/>
    <w:hidden/>
    <w:uiPriority w:val="99"/>
    <w:semiHidden/>
    <w:rsid w:val="00B923B8"/>
  </w:style>
  <w:style w:type="character" w:customStyle="1" w:styleId="Heading1Char">
    <w:name w:val="Heading 1 Char"/>
    <w:basedOn w:val="DefaultParagraphFont"/>
    <w:link w:val="Heading1"/>
    <w:uiPriority w:val="9"/>
    <w:rsid w:val="003427F1"/>
    <w:rPr>
      <w:rFonts w:asciiTheme="majorHAnsi" w:eastAsiaTheme="majorEastAsia" w:hAnsiTheme="majorHAnsi" w:cstheme="majorBidi"/>
      <w:b/>
      <w:bCs/>
      <w:color w:val="000000" w:themeColor="text1"/>
      <w:sz w:val="36"/>
      <w:szCs w:val="36"/>
    </w:rPr>
  </w:style>
  <w:style w:type="paragraph" w:styleId="Header">
    <w:name w:val="header"/>
    <w:basedOn w:val="Normal"/>
    <w:link w:val="HeaderChar"/>
    <w:uiPriority w:val="99"/>
    <w:unhideWhenUsed/>
    <w:rsid w:val="007E4638"/>
    <w:pPr>
      <w:tabs>
        <w:tab w:val="center" w:pos="4513"/>
        <w:tab w:val="right" w:pos="9026"/>
      </w:tabs>
    </w:pPr>
  </w:style>
  <w:style w:type="character" w:customStyle="1" w:styleId="HeaderChar">
    <w:name w:val="Header Char"/>
    <w:basedOn w:val="DefaultParagraphFont"/>
    <w:link w:val="Header"/>
    <w:uiPriority w:val="99"/>
    <w:rsid w:val="007E4638"/>
  </w:style>
  <w:style w:type="paragraph" w:styleId="Footer">
    <w:name w:val="footer"/>
    <w:basedOn w:val="Normal"/>
    <w:link w:val="FooterChar"/>
    <w:uiPriority w:val="99"/>
    <w:unhideWhenUsed/>
    <w:rsid w:val="007E4638"/>
    <w:pPr>
      <w:tabs>
        <w:tab w:val="center" w:pos="4513"/>
        <w:tab w:val="right" w:pos="9026"/>
      </w:tabs>
    </w:pPr>
  </w:style>
  <w:style w:type="character" w:customStyle="1" w:styleId="FooterChar">
    <w:name w:val="Footer Char"/>
    <w:basedOn w:val="DefaultParagraphFont"/>
    <w:link w:val="Footer"/>
    <w:uiPriority w:val="99"/>
    <w:rsid w:val="007E4638"/>
  </w:style>
  <w:style w:type="character" w:styleId="PageNumber">
    <w:name w:val="page number"/>
    <w:basedOn w:val="DefaultParagraphFont"/>
    <w:uiPriority w:val="99"/>
    <w:semiHidden/>
    <w:unhideWhenUsed/>
    <w:rsid w:val="007E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edSourceSystemLocation xmlns="60a9a237-541a-4694-ac71-7c7974ea20d2" xsi:nil="true"/>
    <SharedDocumentAccessGuid xmlns="60a9a237-541a-4694-ac71-7c7974ea20d2" xsi:nil="true"/>
    <lcf76f155ced4ddcb4097134ff3c332f xmlns="60a9a237-541a-4694-ac71-7c7974ea20d2">
      <Terms xmlns="http://schemas.microsoft.com/office/infopath/2007/PartnerControls"/>
    </lcf76f155ced4ddcb4097134ff3c332f>
    <TaxCatchAll xmlns="6a08c7d6-d491-4b00-87ec-5ce5cfc631db" xsi:nil="true"/>
    <Archived xmlns="60a9a237-541a-4694-ac71-7c7974ea20d2" xsi:nil="true"/>
    <JSONPreview xmlns="60a9a237-541a-4694-ac71-7c7974ea20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7B3D2671C0B419C20ADDEB448215B" ma:contentTypeVersion="21" ma:contentTypeDescription="Create a new document." ma:contentTypeScope="" ma:versionID="1946a012b6a5c5a0f521dd1f745d99c0">
  <xsd:schema xmlns:xsd="http://www.w3.org/2001/XMLSchema" xmlns:xs="http://www.w3.org/2001/XMLSchema" xmlns:p="http://schemas.microsoft.com/office/2006/metadata/properties" xmlns:ns2="60a9a237-541a-4694-ac71-7c7974ea20d2" xmlns:ns3="6a08c7d6-d491-4b00-87ec-5ce5cfc631db" targetNamespace="http://schemas.microsoft.com/office/2006/metadata/properties" ma:root="true" ma:fieldsID="d2947c3f1097e1af50eeec5d752e4b58" ns2:_="" ns3:_="">
    <xsd:import namespace="60a9a237-541a-4694-ac71-7c7974ea20d2"/>
    <xsd:import namespace="6a08c7d6-d491-4b00-87ec-5ce5cfc631db"/>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a237-541a-4694-ac71-7c7974ea20d2"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829d6c-6ee0-4a20-baa2-9ab0a06e81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8c7d6-d491-4b00-87ec-5ce5cfc631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3b13ff-dc2d-404a-aa41-4f6521a7357c}" ma:internalName="TaxCatchAll" ma:showField="CatchAllData" ma:web="6a08c7d6-d491-4b00-87ec-5ce5cfc63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E79E7-9AEB-4864-AB4C-B5C3CA92FFB9}">
  <ds:schemaRefs>
    <ds:schemaRef ds:uri="http://schemas.microsoft.com/sharepoint/v3/contenttype/forms"/>
  </ds:schemaRefs>
</ds:datastoreItem>
</file>

<file path=customXml/itemProps2.xml><?xml version="1.0" encoding="utf-8"?>
<ds:datastoreItem xmlns:ds="http://schemas.openxmlformats.org/officeDocument/2006/customXml" ds:itemID="{FFB231F2-308F-4FDE-89DA-CA2E5351AB16}">
  <ds:schemaRefs>
    <ds:schemaRef ds:uri="http://schemas.microsoft.com/office/2006/metadata/properties"/>
    <ds:schemaRef ds:uri="http://schemas.microsoft.com/office/infopath/2007/PartnerControls"/>
    <ds:schemaRef ds:uri="60a9a237-541a-4694-ac71-7c7974ea20d2"/>
    <ds:schemaRef ds:uri="6a08c7d6-d491-4b00-87ec-5ce5cfc631db"/>
  </ds:schemaRefs>
</ds:datastoreItem>
</file>

<file path=customXml/itemProps3.xml><?xml version="1.0" encoding="utf-8"?>
<ds:datastoreItem xmlns:ds="http://schemas.openxmlformats.org/officeDocument/2006/customXml" ds:itemID="{ECE66F9A-2403-439C-89BF-AE7ECF833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a237-541a-4694-ac71-7c7974ea20d2"/>
    <ds:schemaRef ds:uri="6a08c7d6-d491-4b00-87ec-5ce5cfc63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 Privacy Self-assessment Tool - Maturity Matrix</dc:title>
  <dc:subject/>
  <dc:creator/>
  <cp:keywords/>
  <dc:description/>
  <cp:lastModifiedBy>Giles Aley</cp:lastModifiedBy>
  <cp:revision>3</cp:revision>
  <dcterms:created xsi:type="dcterms:W3CDTF">2023-05-04T00:27:00Z</dcterms:created>
  <dcterms:modified xsi:type="dcterms:W3CDTF">2023-05-04T00:28:00Z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0x0101000197B3D2671C0B419C20ADDEB448215B</vt:lpwstr>
  </property>
  <property fmtid="{D5CDD505-2E9C-101B-9397-08002B2CF9AE}" pid="3" name="MediaServiceImageTags">
    <vt:lpwstr/>
  </property>
</Properties>
</file>