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3D9F" w14:textId="0E54C60A" w:rsidR="00741756" w:rsidRPr="00741756" w:rsidRDefault="00741756" w:rsidP="00EC03AF">
      <w:pPr>
        <w:pStyle w:val="Heading1"/>
      </w:pPr>
      <w:r>
        <w:rPr>
          <w:noProof/>
        </w:rPr>
        <w:drawing>
          <wp:anchor distT="0" distB="0" distL="114300" distR="114300" simplePos="0" relativeHeight="251658240" behindDoc="0" locked="0" layoutInCell="1" allowOverlap="1" wp14:anchorId="5A5BFFD4" wp14:editId="2F0B2375">
            <wp:simplePos x="0" y="0"/>
            <wp:positionH relativeFrom="column">
              <wp:posOffset>8749665</wp:posOffset>
            </wp:positionH>
            <wp:positionV relativeFrom="page">
              <wp:posOffset>407940</wp:posOffset>
            </wp:positionV>
            <wp:extent cx="1125977" cy="576393"/>
            <wp:effectExtent l="0" t="0" r="4445" b="0"/>
            <wp:wrapNone/>
            <wp:docPr id="2" name="Picture 1" descr="Home">
              <a:extLst xmlns:a="http://schemas.openxmlformats.org/drawingml/2006/main">
                <a:ext uri="{FF2B5EF4-FFF2-40B4-BE49-F238E27FC236}">
                  <a16:creationId xmlns:a16="http://schemas.microsoft.com/office/drawing/2014/main" id="{06043116-4849-5348-BB9D-B4B84BA3A0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ome">
                      <a:extLst>
                        <a:ext uri="{FF2B5EF4-FFF2-40B4-BE49-F238E27FC236}">
                          <a16:creationId xmlns:a16="http://schemas.microsoft.com/office/drawing/2014/main" id="{06043116-4849-5348-BB9D-B4B84BA3A07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5977" cy="5763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1756">
        <w:t xml:space="preserve">Information Access </w:t>
      </w:r>
      <w:r w:rsidRPr="00EC03AF">
        <w:t>Maturity</w:t>
      </w:r>
      <w:r w:rsidRPr="00741756">
        <w:t xml:space="preserve"> Matrix</w:t>
      </w:r>
    </w:p>
    <w:p w14:paraId="71B95CEB" w14:textId="494F4ED3" w:rsidR="00741756" w:rsidRDefault="00741756">
      <w:r>
        <w:t>Version 1.0</w:t>
      </w:r>
    </w:p>
    <w:p w14:paraId="180F8823" w14:textId="77777777" w:rsidR="00741756" w:rsidRDefault="00741756"/>
    <w:tbl>
      <w:tblPr>
        <w:tblStyle w:val="TableGrid"/>
        <w:tblW w:w="15588" w:type="dxa"/>
        <w:tblCellMar>
          <w:top w:w="57" w:type="dxa"/>
          <w:bottom w:w="57" w:type="dxa"/>
        </w:tblCellMar>
        <w:tblLook w:val="0600" w:firstRow="0" w:lastRow="0" w:firstColumn="0" w:lastColumn="0" w:noHBand="1" w:noVBand="1"/>
      </w:tblPr>
      <w:tblGrid>
        <w:gridCol w:w="1297"/>
        <w:gridCol w:w="3573"/>
        <w:gridCol w:w="3574"/>
        <w:gridCol w:w="3574"/>
        <w:gridCol w:w="3570"/>
      </w:tblGrid>
      <w:tr w:rsidR="00797912" w:rsidRPr="00F61431" w14:paraId="51CDAD25" w14:textId="77777777" w:rsidTr="00716A39">
        <w:trPr>
          <w:cantSplit/>
          <w:tblHeader/>
        </w:trPr>
        <w:tc>
          <w:tcPr>
            <w:tcW w:w="1297" w:type="dxa"/>
            <w:tcBorders>
              <w:top w:val="nil"/>
              <w:left w:val="nil"/>
              <w:bottom w:val="nil"/>
            </w:tcBorders>
          </w:tcPr>
          <w:p w14:paraId="0C97754D" w14:textId="77777777" w:rsidR="00797912" w:rsidRPr="00F61431" w:rsidRDefault="00797912" w:rsidP="001672F4">
            <w:pPr>
              <w:rPr>
                <w:rFonts w:ascii="Arial" w:hAnsi="Arial" w:cs="Arial"/>
                <w:b/>
                <w:bCs/>
                <w:sz w:val="18"/>
                <w:szCs w:val="18"/>
              </w:rPr>
            </w:pPr>
          </w:p>
        </w:tc>
        <w:tc>
          <w:tcPr>
            <w:tcW w:w="7147" w:type="dxa"/>
            <w:gridSpan w:val="2"/>
            <w:shd w:val="clear" w:color="auto" w:fill="B4C6E7" w:themeFill="accent1" w:themeFillTint="66"/>
          </w:tcPr>
          <w:p w14:paraId="0E3171D4" w14:textId="7224FF18" w:rsidR="00797912" w:rsidRPr="00F61431" w:rsidRDefault="00797912" w:rsidP="001672F4">
            <w:pPr>
              <w:rPr>
                <w:rFonts w:ascii="Arial" w:hAnsi="Arial" w:cs="Arial"/>
                <w:b/>
                <w:bCs/>
                <w:sz w:val="22"/>
                <w:szCs w:val="22"/>
              </w:rPr>
            </w:pPr>
            <w:r w:rsidRPr="00F61431">
              <w:rPr>
                <w:rFonts w:ascii="Arial" w:hAnsi="Arial" w:cs="Arial"/>
                <w:b/>
                <w:bCs/>
                <w:sz w:val="22"/>
                <w:szCs w:val="22"/>
              </w:rPr>
              <w:t>Meeting Compliance</w:t>
            </w:r>
          </w:p>
        </w:tc>
        <w:tc>
          <w:tcPr>
            <w:tcW w:w="7144" w:type="dxa"/>
            <w:gridSpan w:val="2"/>
            <w:shd w:val="clear" w:color="auto" w:fill="002060"/>
          </w:tcPr>
          <w:p w14:paraId="5335CB86" w14:textId="615B8045" w:rsidR="00797912" w:rsidRPr="00F61431" w:rsidRDefault="00797912" w:rsidP="001672F4">
            <w:pPr>
              <w:rPr>
                <w:rFonts w:ascii="Arial" w:hAnsi="Arial" w:cs="Arial"/>
                <w:b/>
                <w:bCs/>
                <w:sz w:val="22"/>
                <w:szCs w:val="22"/>
              </w:rPr>
            </w:pPr>
            <w:r w:rsidRPr="00F61431">
              <w:rPr>
                <w:rFonts w:ascii="Arial" w:hAnsi="Arial" w:cs="Arial"/>
                <w:b/>
                <w:bCs/>
                <w:sz w:val="22"/>
                <w:szCs w:val="22"/>
              </w:rPr>
              <w:t>Pursuing Best Practice</w:t>
            </w:r>
          </w:p>
        </w:tc>
      </w:tr>
      <w:tr w:rsidR="00653C69" w:rsidRPr="00F61431" w14:paraId="07F3ADE8" w14:textId="77777777" w:rsidTr="00653C69">
        <w:trPr>
          <w:cantSplit/>
          <w:tblHeader/>
        </w:trPr>
        <w:tc>
          <w:tcPr>
            <w:tcW w:w="1297" w:type="dxa"/>
            <w:tcBorders>
              <w:top w:val="nil"/>
              <w:left w:val="nil"/>
              <w:bottom w:val="nil"/>
            </w:tcBorders>
          </w:tcPr>
          <w:p w14:paraId="23115200" w14:textId="77777777" w:rsidR="00653C69" w:rsidRPr="00F61431" w:rsidRDefault="00653C69" w:rsidP="001672F4">
            <w:pPr>
              <w:rPr>
                <w:rFonts w:ascii="Arial" w:hAnsi="Arial" w:cs="Arial"/>
                <w:b/>
                <w:bCs/>
                <w:sz w:val="18"/>
                <w:szCs w:val="18"/>
              </w:rPr>
            </w:pPr>
          </w:p>
        </w:tc>
        <w:tc>
          <w:tcPr>
            <w:tcW w:w="14291" w:type="dxa"/>
            <w:gridSpan w:val="4"/>
            <w:shd w:val="clear" w:color="auto" w:fill="B4C6E7" w:themeFill="accent1" w:themeFillTint="66"/>
          </w:tcPr>
          <w:p w14:paraId="5A86FF0E" w14:textId="04AA0C61" w:rsidR="00653C69" w:rsidRPr="00653C69" w:rsidRDefault="00653C69" w:rsidP="00653C69">
            <w:pPr>
              <w:jc w:val="center"/>
              <w:rPr>
                <w:rFonts w:ascii="Arial" w:hAnsi="Arial" w:cs="Arial"/>
                <w:b/>
                <w:bCs/>
              </w:rPr>
            </w:pPr>
            <w:r w:rsidRPr="00653C69">
              <w:rPr>
                <w:rFonts w:ascii="Arial" w:hAnsi="Arial" w:cs="Arial"/>
                <w:b/>
                <w:bCs/>
              </w:rPr>
              <w:t>Maturity Level</w:t>
            </w:r>
          </w:p>
        </w:tc>
      </w:tr>
      <w:tr w:rsidR="004D64B2" w:rsidRPr="00F61431" w14:paraId="132793D6" w14:textId="77777777" w:rsidTr="00653C69">
        <w:trPr>
          <w:cantSplit/>
          <w:tblHeader/>
        </w:trPr>
        <w:tc>
          <w:tcPr>
            <w:tcW w:w="1297" w:type="dxa"/>
            <w:tcBorders>
              <w:top w:val="nil"/>
              <w:left w:val="single" w:sz="4" w:space="0" w:color="auto"/>
              <w:bottom w:val="nil"/>
            </w:tcBorders>
            <w:shd w:val="clear" w:color="auto" w:fill="222A35" w:themeFill="text2" w:themeFillShade="80"/>
          </w:tcPr>
          <w:p w14:paraId="3A6E403C" w14:textId="2566BB62" w:rsidR="007E67CD" w:rsidRPr="00653C69" w:rsidRDefault="00653C69" w:rsidP="001672F4">
            <w:pPr>
              <w:rPr>
                <w:rFonts w:ascii="Arial" w:hAnsi="Arial" w:cs="Arial"/>
                <w:b/>
                <w:bCs/>
              </w:rPr>
            </w:pPr>
            <w:r w:rsidRPr="00653C69">
              <w:rPr>
                <w:rFonts w:ascii="Arial" w:hAnsi="Arial" w:cs="Arial"/>
                <w:b/>
                <w:bCs/>
                <w:color w:val="FFFFFF" w:themeColor="background1"/>
              </w:rPr>
              <w:t>Area of Practice</w:t>
            </w:r>
          </w:p>
        </w:tc>
        <w:tc>
          <w:tcPr>
            <w:tcW w:w="3573" w:type="dxa"/>
            <w:shd w:val="clear" w:color="auto" w:fill="D9E2F3" w:themeFill="accent1" w:themeFillTint="33"/>
          </w:tcPr>
          <w:p w14:paraId="32A30F52" w14:textId="0313D9A0" w:rsidR="007E67CD" w:rsidRPr="00F61431" w:rsidRDefault="007E67CD" w:rsidP="001672F4">
            <w:pPr>
              <w:rPr>
                <w:rFonts w:ascii="Arial" w:hAnsi="Arial" w:cs="Arial"/>
                <w:b/>
                <w:bCs/>
                <w:sz w:val="22"/>
                <w:szCs w:val="22"/>
              </w:rPr>
            </w:pPr>
            <w:r w:rsidRPr="00F61431">
              <w:rPr>
                <w:rFonts w:ascii="Arial" w:hAnsi="Arial" w:cs="Arial"/>
                <w:b/>
                <w:bCs/>
                <w:sz w:val="22"/>
                <w:szCs w:val="22"/>
              </w:rPr>
              <w:t>Level 1 – Developing Foundations</w:t>
            </w:r>
          </w:p>
        </w:tc>
        <w:tc>
          <w:tcPr>
            <w:tcW w:w="3574" w:type="dxa"/>
            <w:shd w:val="clear" w:color="auto" w:fill="B4C6E7" w:themeFill="accent1" w:themeFillTint="66"/>
          </w:tcPr>
          <w:p w14:paraId="348F883E" w14:textId="60075393" w:rsidR="007E67CD" w:rsidRPr="00F61431" w:rsidRDefault="007E67CD" w:rsidP="001672F4">
            <w:pPr>
              <w:rPr>
                <w:rFonts w:ascii="Arial" w:hAnsi="Arial" w:cs="Arial"/>
                <w:b/>
                <w:bCs/>
                <w:sz w:val="22"/>
                <w:szCs w:val="22"/>
              </w:rPr>
            </w:pPr>
            <w:r w:rsidRPr="00F61431">
              <w:rPr>
                <w:rFonts w:ascii="Arial" w:hAnsi="Arial" w:cs="Arial"/>
                <w:b/>
                <w:bCs/>
                <w:sz w:val="22"/>
                <w:szCs w:val="22"/>
              </w:rPr>
              <w:t xml:space="preserve">Level 2 – Established </w:t>
            </w:r>
            <w:r w:rsidR="0096106F">
              <w:rPr>
                <w:rFonts w:ascii="Arial" w:hAnsi="Arial" w:cs="Arial"/>
                <w:b/>
                <w:bCs/>
                <w:sz w:val="22"/>
                <w:szCs w:val="22"/>
              </w:rPr>
              <w:t>Compliance</w:t>
            </w:r>
          </w:p>
        </w:tc>
        <w:tc>
          <w:tcPr>
            <w:tcW w:w="3574" w:type="dxa"/>
            <w:shd w:val="clear" w:color="auto" w:fill="2F5496" w:themeFill="accent1" w:themeFillShade="BF"/>
          </w:tcPr>
          <w:p w14:paraId="6F164346" w14:textId="7EB635C4" w:rsidR="007E67CD" w:rsidRPr="00F61431" w:rsidRDefault="007E67CD" w:rsidP="001672F4">
            <w:pPr>
              <w:rPr>
                <w:rFonts w:ascii="Arial" w:hAnsi="Arial" w:cs="Arial"/>
                <w:b/>
                <w:bCs/>
                <w:sz w:val="22"/>
                <w:szCs w:val="22"/>
              </w:rPr>
            </w:pPr>
            <w:r w:rsidRPr="00716A39">
              <w:rPr>
                <w:rFonts w:ascii="Arial" w:hAnsi="Arial" w:cs="Arial"/>
                <w:b/>
                <w:bCs/>
                <w:color w:val="FFFFFF" w:themeColor="background1"/>
                <w:sz w:val="22"/>
                <w:szCs w:val="22"/>
              </w:rPr>
              <w:t>Level 3 – Embedded Operations</w:t>
            </w:r>
          </w:p>
        </w:tc>
        <w:tc>
          <w:tcPr>
            <w:tcW w:w="3570" w:type="dxa"/>
            <w:shd w:val="clear" w:color="auto" w:fill="002060"/>
          </w:tcPr>
          <w:p w14:paraId="441FCDD1" w14:textId="69E13DEB" w:rsidR="007E67CD" w:rsidRPr="00F61431" w:rsidRDefault="007E67CD" w:rsidP="001672F4">
            <w:pPr>
              <w:rPr>
                <w:rFonts w:ascii="Arial" w:hAnsi="Arial" w:cs="Arial"/>
                <w:b/>
                <w:bCs/>
                <w:sz w:val="22"/>
                <w:szCs w:val="22"/>
              </w:rPr>
            </w:pPr>
            <w:r w:rsidRPr="00F61431">
              <w:rPr>
                <w:rFonts w:ascii="Arial" w:hAnsi="Arial" w:cs="Arial"/>
                <w:b/>
                <w:bCs/>
                <w:sz w:val="22"/>
                <w:szCs w:val="22"/>
              </w:rPr>
              <w:t>Level 4 – Optimised Excellence</w:t>
            </w:r>
          </w:p>
        </w:tc>
      </w:tr>
      <w:tr w:rsidR="004D64B2" w:rsidRPr="00F61431" w14:paraId="30D35C3C" w14:textId="77777777" w:rsidTr="00716A39">
        <w:trPr>
          <w:cantSplit/>
        </w:trPr>
        <w:tc>
          <w:tcPr>
            <w:tcW w:w="1297" w:type="dxa"/>
            <w:tcBorders>
              <w:top w:val="nil"/>
            </w:tcBorders>
            <w:shd w:val="clear" w:color="auto" w:fill="222A35" w:themeFill="text2" w:themeFillShade="80"/>
          </w:tcPr>
          <w:p w14:paraId="705F221A" w14:textId="56C8AD89" w:rsidR="007E67CD" w:rsidRPr="00716A39" w:rsidRDefault="007E67CD" w:rsidP="00B71DDC">
            <w:pPr>
              <w:rPr>
                <w:rFonts w:ascii="Arial" w:hAnsi="Arial" w:cs="Arial"/>
                <w:b/>
                <w:bCs/>
                <w:color w:val="FFFFFF" w:themeColor="background1"/>
                <w:sz w:val="18"/>
                <w:szCs w:val="18"/>
              </w:rPr>
            </w:pPr>
            <w:r w:rsidRPr="00716A39">
              <w:rPr>
                <w:rFonts w:ascii="Arial" w:hAnsi="Arial" w:cs="Arial"/>
                <w:b/>
                <w:bCs/>
                <w:color w:val="FFFFFF" w:themeColor="background1"/>
                <w:sz w:val="18"/>
                <w:szCs w:val="18"/>
              </w:rPr>
              <w:t>Culture and Leadership</w:t>
            </w:r>
          </w:p>
        </w:tc>
        <w:tc>
          <w:tcPr>
            <w:tcW w:w="3573" w:type="dxa"/>
          </w:tcPr>
          <w:p w14:paraId="0CAC237A" w14:textId="1C955E9D" w:rsidR="00741756" w:rsidRPr="00741756" w:rsidRDefault="0061366D" w:rsidP="00741756">
            <w:pPr>
              <w:rPr>
                <w:rFonts w:ascii="Arial" w:hAnsi="Arial" w:cs="Arial"/>
                <w:sz w:val="15"/>
                <w:szCs w:val="15"/>
              </w:rPr>
            </w:pPr>
            <w:r w:rsidRPr="0061366D">
              <w:rPr>
                <w:rFonts w:ascii="Arial" w:hAnsi="Arial" w:cs="Arial"/>
                <w:sz w:val="15"/>
                <w:szCs w:val="15"/>
              </w:rPr>
              <w:t xml:space="preserve">The Executive and Senior Leadership are building awareness of their role in promoting open </w:t>
            </w:r>
            <w:r w:rsidR="00A04883">
              <w:rPr>
                <w:rFonts w:ascii="Arial" w:hAnsi="Arial" w:cs="Arial"/>
                <w:sz w:val="15"/>
                <w:szCs w:val="15"/>
              </w:rPr>
              <w:t xml:space="preserve">access information </w:t>
            </w:r>
            <w:r w:rsidR="002E0A0D">
              <w:rPr>
                <w:rFonts w:ascii="Arial" w:hAnsi="Arial" w:cs="Arial"/>
                <w:sz w:val="15"/>
                <w:szCs w:val="15"/>
              </w:rPr>
              <w:t xml:space="preserve">and open </w:t>
            </w:r>
            <w:r w:rsidRPr="0061366D">
              <w:rPr>
                <w:rFonts w:ascii="Arial" w:hAnsi="Arial" w:cs="Arial"/>
                <w:sz w:val="15"/>
                <w:szCs w:val="15"/>
              </w:rPr>
              <w:t>data</w:t>
            </w:r>
            <w:r w:rsidR="0096106F">
              <w:rPr>
                <w:rFonts w:ascii="Arial" w:hAnsi="Arial" w:cs="Arial"/>
                <w:sz w:val="15"/>
                <w:szCs w:val="15"/>
              </w:rPr>
              <w:t xml:space="preserve"> </w:t>
            </w:r>
            <w:r w:rsidRPr="0061366D">
              <w:rPr>
                <w:rFonts w:ascii="Arial" w:hAnsi="Arial" w:cs="Arial"/>
                <w:sz w:val="15"/>
                <w:szCs w:val="15"/>
              </w:rPr>
              <w:t xml:space="preserve">culture. Open </w:t>
            </w:r>
            <w:r w:rsidR="000C5D81">
              <w:rPr>
                <w:rFonts w:ascii="Arial" w:hAnsi="Arial" w:cs="Arial"/>
                <w:sz w:val="15"/>
                <w:szCs w:val="15"/>
              </w:rPr>
              <w:t>acces</w:t>
            </w:r>
            <w:r w:rsidR="00746C13">
              <w:rPr>
                <w:rFonts w:ascii="Arial" w:hAnsi="Arial" w:cs="Arial"/>
                <w:sz w:val="15"/>
                <w:szCs w:val="15"/>
              </w:rPr>
              <w:t>s</w:t>
            </w:r>
            <w:r w:rsidR="000C5D81">
              <w:rPr>
                <w:rFonts w:ascii="Arial" w:hAnsi="Arial" w:cs="Arial"/>
                <w:sz w:val="15"/>
                <w:szCs w:val="15"/>
              </w:rPr>
              <w:t xml:space="preserve"> information</w:t>
            </w:r>
            <w:r w:rsidR="00746C13">
              <w:rPr>
                <w:rFonts w:ascii="Arial" w:hAnsi="Arial" w:cs="Arial"/>
                <w:sz w:val="15"/>
                <w:szCs w:val="15"/>
              </w:rPr>
              <w:t xml:space="preserve"> and open</w:t>
            </w:r>
            <w:r w:rsidR="000C5D81">
              <w:rPr>
                <w:rFonts w:ascii="Arial" w:hAnsi="Arial" w:cs="Arial"/>
                <w:sz w:val="15"/>
                <w:szCs w:val="15"/>
              </w:rPr>
              <w:t xml:space="preserve"> </w:t>
            </w:r>
            <w:r w:rsidRPr="0061366D">
              <w:rPr>
                <w:rFonts w:ascii="Arial" w:hAnsi="Arial" w:cs="Arial"/>
                <w:sz w:val="15"/>
                <w:szCs w:val="15"/>
              </w:rPr>
              <w:t>data</w:t>
            </w:r>
            <w:r w:rsidR="0096106F">
              <w:rPr>
                <w:rFonts w:ascii="Arial" w:hAnsi="Arial" w:cs="Arial"/>
                <w:sz w:val="15"/>
                <w:szCs w:val="15"/>
              </w:rPr>
              <w:t xml:space="preserve"> </w:t>
            </w:r>
            <w:r w:rsidRPr="0061366D">
              <w:rPr>
                <w:rFonts w:ascii="Arial" w:hAnsi="Arial" w:cs="Arial"/>
                <w:sz w:val="15"/>
                <w:szCs w:val="15"/>
              </w:rPr>
              <w:t xml:space="preserve">practices and procedures are not fully developed, are not fit for </w:t>
            </w:r>
            <w:r w:rsidR="008E5E3A" w:rsidRPr="0061366D">
              <w:rPr>
                <w:rFonts w:ascii="Arial" w:hAnsi="Arial" w:cs="Arial"/>
                <w:sz w:val="15"/>
                <w:szCs w:val="15"/>
              </w:rPr>
              <w:t>purpose,</w:t>
            </w:r>
            <w:r w:rsidRPr="0061366D">
              <w:rPr>
                <w:rFonts w:ascii="Arial" w:hAnsi="Arial" w:cs="Arial"/>
                <w:sz w:val="15"/>
                <w:szCs w:val="15"/>
              </w:rPr>
              <w:t xml:space="preserve"> or are performed in an ad-hoc manner. </w:t>
            </w:r>
          </w:p>
        </w:tc>
        <w:tc>
          <w:tcPr>
            <w:tcW w:w="3574" w:type="dxa"/>
          </w:tcPr>
          <w:p w14:paraId="42D9C5AE" w14:textId="16DBBF02" w:rsidR="007E67CD" w:rsidRPr="00F61431" w:rsidRDefault="008449A9" w:rsidP="007E67CD">
            <w:pPr>
              <w:rPr>
                <w:rFonts w:ascii="Arial" w:hAnsi="Arial" w:cs="Arial"/>
                <w:sz w:val="15"/>
                <w:szCs w:val="15"/>
              </w:rPr>
            </w:pPr>
            <w:r w:rsidRPr="00F61431">
              <w:rPr>
                <w:rFonts w:ascii="Arial" w:hAnsi="Arial" w:cs="Arial"/>
                <w:sz w:val="15"/>
                <w:szCs w:val="15"/>
              </w:rPr>
              <w:t xml:space="preserve">The </w:t>
            </w:r>
            <w:r w:rsidR="004A467D">
              <w:rPr>
                <w:rFonts w:ascii="Arial" w:hAnsi="Arial" w:cs="Arial"/>
                <w:sz w:val="15"/>
                <w:szCs w:val="15"/>
              </w:rPr>
              <w:t>Executive and Senior Leadership</w:t>
            </w:r>
            <w:r w:rsidR="004A467D" w:rsidRPr="00F61431">
              <w:rPr>
                <w:rFonts w:ascii="Arial" w:hAnsi="Arial" w:cs="Arial"/>
                <w:sz w:val="15"/>
                <w:szCs w:val="15"/>
              </w:rPr>
              <w:t xml:space="preserve"> </w:t>
            </w:r>
            <w:r w:rsidRPr="00F61431">
              <w:rPr>
                <w:rFonts w:ascii="Arial" w:hAnsi="Arial" w:cs="Arial"/>
                <w:sz w:val="15"/>
                <w:szCs w:val="15"/>
              </w:rPr>
              <w:t>support</w:t>
            </w:r>
            <w:r w:rsidR="00586A86" w:rsidRPr="00F61431">
              <w:rPr>
                <w:rFonts w:ascii="Arial" w:hAnsi="Arial" w:cs="Arial"/>
                <w:sz w:val="15"/>
                <w:szCs w:val="15"/>
              </w:rPr>
              <w:t xml:space="preserve"> the promotion of </w:t>
            </w:r>
            <w:r w:rsidR="006A4810">
              <w:rPr>
                <w:rFonts w:ascii="Arial" w:hAnsi="Arial" w:cs="Arial"/>
                <w:sz w:val="15"/>
                <w:szCs w:val="15"/>
              </w:rPr>
              <w:t xml:space="preserve">an </w:t>
            </w:r>
            <w:r w:rsidR="00586A86" w:rsidRPr="00F61431">
              <w:rPr>
                <w:rFonts w:ascii="Arial" w:hAnsi="Arial" w:cs="Arial"/>
                <w:sz w:val="15"/>
                <w:szCs w:val="15"/>
              </w:rPr>
              <w:t xml:space="preserve">open </w:t>
            </w:r>
            <w:r w:rsidR="00EF15DA">
              <w:rPr>
                <w:rFonts w:ascii="Arial" w:hAnsi="Arial" w:cs="Arial"/>
                <w:sz w:val="15"/>
                <w:szCs w:val="15"/>
              </w:rPr>
              <w:t xml:space="preserve">access information and open </w:t>
            </w:r>
            <w:r w:rsidR="00586A86" w:rsidRPr="00F61431">
              <w:rPr>
                <w:rFonts w:ascii="Arial" w:hAnsi="Arial" w:cs="Arial"/>
                <w:sz w:val="15"/>
                <w:szCs w:val="15"/>
              </w:rPr>
              <w:t xml:space="preserve">data culture to all levels of the organisation. Open </w:t>
            </w:r>
            <w:r w:rsidR="00EF15DA">
              <w:rPr>
                <w:rFonts w:ascii="Arial" w:hAnsi="Arial" w:cs="Arial"/>
                <w:sz w:val="15"/>
                <w:szCs w:val="15"/>
              </w:rPr>
              <w:t xml:space="preserve">access information and open </w:t>
            </w:r>
            <w:r w:rsidR="00586A86" w:rsidRPr="00F61431">
              <w:rPr>
                <w:rFonts w:ascii="Arial" w:hAnsi="Arial" w:cs="Arial"/>
                <w:sz w:val="15"/>
                <w:szCs w:val="15"/>
              </w:rPr>
              <w:t>data</w:t>
            </w:r>
            <w:r w:rsidR="0096106F">
              <w:rPr>
                <w:rFonts w:ascii="Arial" w:hAnsi="Arial" w:cs="Arial"/>
                <w:sz w:val="15"/>
                <w:szCs w:val="15"/>
              </w:rPr>
              <w:t xml:space="preserve"> </w:t>
            </w:r>
            <w:r w:rsidR="00586A86" w:rsidRPr="00F61431">
              <w:rPr>
                <w:rFonts w:ascii="Arial" w:hAnsi="Arial" w:cs="Arial"/>
                <w:sz w:val="15"/>
                <w:szCs w:val="15"/>
              </w:rPr>
              <w:t xml:space="preserve">practices and procedures are available and routinely performed. </w:t>
            </w:r>
          </w:p>
        </w:tc>
        <w:tc>
          <w:tcPr>
            <w:tcW w:w="3574" w:type="dxa"/>
          </w:tcPr>
          <w:p w14:paraId="7B46C77D" w14:textId="35EDA2A1" w:rsidR="007E67CD" w:rsidRPr="00F61431" w:rsidRDefault="0064240C" w:rsidP="007E67CD">
            <w:pPr>
              <w:rPr>
                <w:rFonts w:ascii="Arial" w:hAnsi="Arial" w:cs="Arial"/>
                <w:sz w:val="15"/>
                <w:szCs w:val="15"/>
              </w:rPr>
            </w:pPr>
            <w:r w:rsidRPr="00F61431">
              <w:rPr>
                <w:rFonts w:ascii="Arial" w:hAnsi="Arial" w:cs="Arial"/>
                <w:sz w:val="15"/>
                <w:szCs w:val="15"/>
              </w:rPr>
              <w:t xml:space="preserve">The </w:t>
            </w:r>
            <w:r w:rsidR="004A467D">
              <w:rPr>
                <w:rFonts w:ascii="Arial" w:hAnsi="Arial" w:cs="Arial"/>
                <w:sz w:val="15"/>
                <w:szCs w:val="15"/>
              </w:rPr>
              <w:t>Executive and Senior Leadership</w:t>
            </w:r>
            <w:r w:rsidR="004A467D" w:rsidRPr="00F61431">
              <w:rPr>
                <w:rFonts w:ascii="Arial" w:hAnsi="Arial" w:cs="Arial"/>
                <w:sz w:val="15"/>
                <w:szCs w:val="15"/>
              </w:rPr>
              <w:t xml:space="preserve"> </w:t>
            </w:r>
            <w:r w:rsidRPr="00F61431">
              <w:rPr>
                <w:rFonts w:ascii="Arial" w:hAnsi="Arial" w:cs="Arial"/>
                <w:sz w:val="15"/>
                <w:szCs w:val="15"/>
              </w:rPr>
              <w:t xml:space="preserve">pro-actively monitors the promotion of </w:t>
            </w:r>
            <w:r w:rsidR="006A4810">
              <w:rPr>
                <w:rFonts w:ascii="Arial" w:hAnsi="Arial" w:cs="Arial"/>
                <w:sz w:val="15"/>
                <w:szCs w:val="15"/>
              </w:rPr>
              <w:t xml:space="preserve">an </w:t>
            </w:r>
            <w:r w:rsidRPr="00F61431">
              <w:rPr>
                <w:rFonts w:ascii="Arial" w:hAnsi="Arial" w:cs="Arial"/>
                <w:sz w:val="15"/>
                <w:szCs w:val="15"/>
              </w:rPr>
              <w:t>open</w:t>
            </w:r>
            <w:r w:rsidR="007B2B72">
              <w:rPr>
                <w:rFonts w:ascii="Arial" w:hAnsi="Arial" w:cs="Arial"/>
                <w:sz w:val="15"/>
                <w:szCs w:val="15"/>
              </w:rPr>
              <w:t xml:space="preserve"> access information and open</w:t>
            </w:r>
            <w:r w:rsidRPr="00F61431">
              <w:rPr>
                <w:rFonts w:ascii="Arial" w:hAnsi="Arial" w:cs="Arial"/>
                <w:sz w:val="15"/>
                <w:szCs w:val="15"/>
              </w:rPr>
              <w:t xml:space="preserve"> data</w:t>
            </w:r>
            <w:r w:rsidR="0096106F">
              <w:rPr>
                <w:rFonts w:ascii="Arial" w:hAnsi="Arial" w:cs="Arial"/>
                <w:sz w:val="15"/>
                <w:szCs w:val="15"/>
              </w:rPr>
              <w:t xml:space="preserve"> </w:t>
            </w:r>
            <w:r w:rsidRPr="00F61431">
              <w:rPr>
                <w:rFonts w:ascii="Arial" w:hAnsi="Arial" w:cs="Arial"/>
                <w:sz w:val="15"/>
                <w:szCs w:val="15"/>
              </w:rPr>
              <w:t>culture</w:t>
            </w:r>
            <w:r w:rsidR="008449A9" w:rsidRPr="00F61431">
              <w:rPr>
                <w:rFonts w:ascii="Arial" w:hAnsi="Arial" w:cs="Arial"/>
                <w:sz w:val="15"/>
                <w:szCs w:val="15"/>
              </w:rPr>
              <w:t xml:space="preserve"> to all levels of the organisation.</w:t>
            </w:r>
            <w:r w:rsidR="00586A86" w:rsidRPr="00F61431">
              <w:rPr>
                <w:rFonts w:ascii="Arial" w:hAnsi="Arial" w:cs="Arial"/>
                <w:sz w:val="15"/>
                <w:szCs w:val="15"/>
              </w:rPr>
              <w:t xml:space="preserve"> Open </w:t>
            </w:r>
            <w:r w:rsidR="007B2B72">
              <w:rPr>
                <w:rFonts w:ascii="Arial" w:hAnsi="Arial" w:cs="Arial"/>
                <w:sz w:val="15"/>
                <w:szCs w:val="15"/>
              </w:rPr>
              <w:t xml:space="preserve">access information and open </w:t>
            </w:r>
            <w:r w:rsidR="00586A86" w:rsidRPr="00F61431">
              <w:rPr>
                <w:rFonts w:ascii="Arial" w:hAnsi="Arial" w:cs="Arial"/>
                <w:sz w:val="15"/>
                <w:szCs w:val="15"/>
              </w:rPr>
              <w:t xml:space="preserve">data practices </w:t>
            </w:r>
            <w:r w:rsidR="008A26E2" w:rsidRPr="00F61431">
              <w:rPr>
                <w:rFonts w:ascii="Arial" w:hAnsi="Arial" w:cs="Arial"/>
                <w:sz w:val="15"/>
                <w:szCs w:val="15"/>
              </w:rPr>
              <w:t xml:space="preserve">and procedures </w:t>
            </w:r>
            <w:r w:rsidR="00586A86" w:rsidRPr="00F61431">
              <w:rPr>
                <w:rFonts w:ascii="Arial" w:hAnsi="Arial" w:cs="Arial"/>
                <w:sz w:val="15"/>
                <w:szCs w:val="15"/>
              </w:rPr>
              <w:t xml:space="preserve">are embedded into business-as-usual processes.  </w:t>
            </w:r>
          </w:p>
        </w:tc>
        <w:tc>
          <w:tcPr>
            <w:tcW w:w="3570" w:type="dxa"/>
          </w:tcPr>
          <w:p w14:paraId="65600CAE" w14:textId="1B95E365" w:rsidR="007E67CD" w:rsidRPr="00F61431" w:rsidRDefault="0064240C" w:rsidP="007E67CD">
            <w:pPr>
              <w:rPr>
                <w:rFonts w:ascii="Arial" w:hAnsi="Arial" w:cs="Arial"/>
                <w:sz w:val="15"/>
                <w:szCs w:val="15"/>
              </w:rPr>
            </w:pPr>
            <w:r w:rsidRPr="00F61431">
              <w:rPr>
                <w:rFonts w:ascii="Arial" w:hAnsi="Arial" w:cs="Arial"/>
                <w:sz w:val="15"/>
                <w:szCs w:val="15"/>
              </w:rPr>
              <w:t xml:space="preserve">The </w:t>
            </w:r>
            <w:r w:rsidR="004A467D">
              <w:rPr>
                <w:rFonts w:ascii="Arial" w:hAnsi="Arial" w:cs="Arial"/>
                <w:sz w:val="15"/>
                <w:szCs w:val="15"/>
              </w:rPr>
              <w:t>Executive and Senior Leadership</w:t>
            </w:r>
            <w:r w:rsidR="004A467D" w:rsidRPr="00F61431">
              <w:rPr>
                <w:rFonts w:ascii="Arial" w:hAnsi="Arial" w:cs="Arial"/>
                <w:sz w:val="15"/>
                <w:szCs w:val="15"/>
              </w:rPr>
              <w:t xml:space="preserve"> </w:t>
            </w:r>
            <w:r w:rsidR="008449A9" w:rsidRPr="00F61431">
              <w:rPr>
                <w:rFonts w:ascii="Arial" w:hAnsi="Arial" w:cs="Arial"/>
                <w:sz w:val="15"/>
                <w:szCs w:val="15"/>
              </w:rPr>
              <w:t xml:space="preserve">promote </w:t>
            </w:r>
            <w:r w:rsidRPr="00F61431">
              <w:rPr>
                <w:rFonts w:ascii="Arial" w:hAnsi="Arial" w:cs="Arial"/>
                <w:sz w:val="15"/>
                <w:szCs w:val="15"/>
              </w:rPr>
              <w:t xml:space="preserve">open </w:t>
            </w:r>
            <w:r w:rsidR="00535B45">
              <w:rPr>
                <w:rFonts w:ascii="Arial" w:hAnsi="Arial" w:cs="Arial"/>
                <w:sz w:val="15"/>
                <w:szCs w:val="15"/>
              </w:rPr>
              <w:t xml:space="preserve">access information and open </w:t>
            </w:r>
            <w:r w:rsidRPr="00F61431">
              <w:rPr>
                <w:rFonts w:ascii="Arial" w:hAnsi="Arial" w:cs="Arial"/>
                <w:sz w:val="15"/>
                <w:szCs w:val="15"/>
              </w:rPr>
              <w:t>data</w:t>
            </w:r>
            <w:r w:rsidR="0096106F">
              <w:rPr>
                <w:rFonts w:ascii="Arial" w:hAnsi="Arial" w:cs="Arial"/>
                <w:sz w:val="15"/>
                <w:szCs w:val="15"/>
              </w:rPr>
              <w:t xml:space="preserve"> </w:t>
            </w:r>
            <w:r w:rsidRPr="00F61431">
              <w:rPr>
                <w:rFonts w:ascii="Arial" w:hAnsi="Arial" w:cs="Arial"/>
                <w:sz w:val="15"/>
                <w:szCs w:val="15"/>
              </w:rPr>
              <w:t xml:space="preserve">culture </w:t>
            </w:r>
            <w:r w:rsidR="008449A9" w:rsidRPr="00F61431">
              <w:rPr>
                <w:rFonts w:ascii="Arial" w:hAnsi="Arial" w:cs="Arial"/>
                <w:sz w:val="15"/>
                <w:szCs w:val="15"/>
              </w:rPr>
              <w:t xml:space="preserve">and advocate it </w:t>
            </w:r>
            <w:r w:rsidRPr="00F61431">
              <w:rPr>
                <w:rFonts w:ascii="Arial" w:hAnsi="Arial" w:cs="Arial"/>
                <w:sz w:val="15"/>
                <w:szCs w:val="15"/>
              </w:rPr>
              <w:t>as a priority to all levels of the organisation.</w:t>
            </w:r>
            <w:r w:rsidR="00586A86" w:rsidRPr="00F61431">
              <w:rPr>
                <w:rFonts w:ascii="Arial" w:hAnsi="Arial" w:cs="Arial"/>
                <w:sz w:val="15"/>
                <w:szCs w:val="15"/>
              </w:rPr>
              <w:t xml:space="preserve"> Open </w:t>
            </w:r>
            <w:r w:rsidR="0073453C">
              <w:rPr>
                <w:rFonts w:ascii="Arial" w:hAnsi="Arial" w:cs="Arial"/>
                <w:sz w:val="15"/>
                <w:szCs w:val="15"/>
              </w:rPr>
              <w:t xml:space="preserve">access information and open </w:t>
            </w:r>
            <w:r w:rsidR="00586A86" w:rsidRPr="00F61431">
              <w:rPr>
                <w:rFonts w:ascii="Arial" w:hAnsi="Arial" w:cs="Arial"/>
                <w:sz w:val="15"/>
                <w:szCs w:val="15"/>
              </w:rPr>
              <w:t xml:space="preserve">data practices </w:t>
            </w:r>
            <w:r w:rsidR="008A26E2" w:rsidRPr="00F61431">
              <w:rPr>
                <w:rFonts w:ascii="Arial" w:hAnsi="Arial" w:cs="Arial"/>
                <w:sz w:val="15"/>
                <w:szCs w:val="15"/>
              </w:rPr>
              <w:t xml:space="preserve">and procedures </w:t>
            </w:r>
            <w:r w:rsidR="00586A86" w:rsidRPr="00F61431">
              <w:rPr>
                <w:rFonts w:ascii="Arial" w:hAnsi="Arial" w:cs="Arial"/>
                <w:sz w:val="15"/>
                <w:szCs w:val="15"/>
              </w:rPr>
              <w:t xml:space="preserve">are subject to continuous improvement activities. </w:t>
            </w:r>
          </w:p>
        </w:tc>
      </w:tr>
      <w:tr w:rsidR="004D64B2" w:rsidRPr="00F61431" w14:paraId="2843930C" w14:textId="77777777" w:rsidTr="00716A39">
        <w:trPr>
          <w:cantSplit/>
        </w:trPr>
        <w:tc>
          <w:tcPr>
            <w:tcW w:w="1297" w:type="dxa"/>
            <w:shd w:val="clear" w:color="auto" w:fill="222A35" w:themeFill="text2" w:themeFillShade="80"/>
          </w:tcPr>
          <w:p w14:paraId="3786284A" w14:textId="4B401EFA" w:rsidR="007E67CD" w:rsidRPr="00716A39" w:rsidRDefault="007E67CD" w:rsidP="00B71DDC">
            <w:pPr>
              <w:rPr>
                <w:rFonts w:ascii="Arial" w:hAnsi="Arial" w:cs="Arial"/>
                <w:b/>
                <w:bCs/>
                <w:color w:val="FFFFFF" w:themeColor="background1"/>
                <w:sz w:val="18"/>
                <w:szCs w:val="18"/>
              </w:rPr>
            </w:pPr>
            <w:r w:rsidRPr="00716A39">
              <w:rPr>
                <w:rFonts w:ascii="Arial" w:hAnsi="Arial" w:cs="Arial"/>
                <w:b/>
                <w:bCs/>
                <w:color w:val="FFFFFF" w:themeColor="background1"/>
                <w:sz w:val="18"/>
                <w:szCs w:val="18"/>
              </w:rPr>
              <w:t>Governance</w:t>
            </w:r>
            <w:r w:rsidR="0095254A" w:rsidRPr="00716A39">
              <w:rPr>
                <w:rFonts w:ascii="Arial" w:hAnsi="Arial" w:cs="Arial"/>
                <w:b/>
                <w:bCs/>
                <w:color w:val="FFFFFF" w:themeColor="background1"/>
                <w:sz w:val="18"/>
                <w:szCs w:val="18"/>
              </w:rPr>
              <w:t xml:space="preserve"> Structures</w:t>
            </w:r>
          </w:p>
        </w:tc>
        <w:tc>
          <w:tcPr>
            <w:tcW w:w="3573" w:type="dxa"/>
          </w:tcPr>
          <w:p w14:paraId="758CF5B9" w14:textId="77777777" w:rsidR="007E67CD" w:rsidRDefault="00F10AF5" w:rsidP="007E67CD">
            <w:pPr>
              <w:rPr>
                <w:rFonts w:ascii="Arial" w:hAnsi="Arial" w:cs="Arial"/>
                <w:sz w:val="15"/>
                <w:szCs w:val="15"/>
              </w:rPr>
            </w:pPr>
            <w:r w:rsidRPr="00F61431">
              <w:rPr>
                <w:rFonts w:ascii="Arial" w:hAnsi="Arial" w:cs="Arial"/>
                <w:sz w:val="15"/>
                <w:szCs w:val="15"/>
              </w:rPr>
              <w:t xml:space="preserve">Governance </w:t>
            </w:r>
            <w:r w:rsidR="0095254A" w:rsidRPr="00F61431">
              <w:rPr>
                <w:rFonts w:ascii="Arial" w:hAnsi="Arial" w:cs="Arial"/>
                <w:sz w:val="15"/>
                <w:szCs w:val="15"/>
              </w:rPr>
              <w:t>structures</w:t>
            </w:r>
            <w:r w:rsidR="00E54311" w:rsidRPr="00F61431">
              <w:rPr>
                <w:rFonts w:ascii="Arial" w:hAnsi="Arial" w:cs="Arial"/>
                <w:sz w:val="15"/>
                <w:szCs w:val="15"/>
              </w:rPr>
              <w:t xml:space="preserve"> that address open access</w:t>
            </w:r>
            <w:r w:rsidR="00176052">
              <w:rPr>
                <w:rFonts w:ascii="Arial" w:hAnsi="Arial" w:cs="Arial"/>
                <w:sz w:val="15"/>
                <w:szCs w:val="15"/>
              </w:rPr>
              <w:t xml:space="preserve"> information</w:t>
            </w:r>
            <w:r w:rsidR="00E54311" w:rsidRPr="00F61431">
              <w:rPr>
                <w:rFonts w:ascii="Arial" w:hAnsi="Arial" w:cs="Arial"/>
                <w:sz w:val="15"/>
                <w:szCs w:val="15"/>
              </w:rPr>
              <w:t xml:space="preserve"> and ensure annual reporting requirements</w:t>
            </w:r>
            <w:r w:rsidRPr="00F61431">
              <w:rPr>
                <w:rFonts w:ascii="Arial" w:hAnsi="Arial" w:cs="Arial"/>
                <w:sz w:val="15"/>
                <w:szCs w:val="15"/>
              </w:rPr>
              <w:t xml:space="preserve"> are under development</w:t>
            </w:r>
            <w:r w:rsidR="00E54311" w:rsidRPr="00F61431">
              <w:rPr>
                <w:rFonts w:ascii="Arial" w:hAnsi="Arial" w:cs="Arial"/>
                <w:sz w:val="15"/>
                <w:szCs w:val="15"/>
              </w:rPr>
              <w:t>.</w:t>
            </w:r>
          </w:p>
          <w:p w14:paraId="30C46518" w14:textId="23CFAF26" w:rsidR="00741756" w:rsidRPr="00741756" w:rsidRDefault="00741756" w:rsidP="00741756">
            <w:pPr>
              <w:rPr>
                <w:rFonts w:ascii="Arial" w:hAnsi="Arial" w:cs="Arial"/>
                <w:sz w:val="15"/>
                <w:szCs w:val="15"/>
              </w:rPr>
            </w:pPr>
          </w:p>
        </w:tc>
        <w:tc>
          <w:tcPr>
            <w:tcW w:w="3574" w:type="dxa"/>
          </w:tcPr>
          <w:p w14:paraId="796704C2" w14:textId="482E0EC5" w:rsidR="007E67CD" w:rsidRPr="00F61431" w:rsidRDefault="007255D9" w:rsidP="007E67CD">
            <w:pPr>
              <w:rPr>
                <w:rFonts w:ascii="Arial" w:hAnsi="Arial" w:cs="Arial"/>
                <w:sz w:val="15"/>
                <w:szCs w:val="15"/>
              </w:rPr>
            </w:pPr>
            <w:r w:rsidRPr="00F61431">
              <w:rPr>
                <w:rFonts w:ascii="Arial" w:hAnsi="Arial" w:cs="Arial"/>
                <w:sz w:val="15"/>
                <w:szCs w:val="15"/>
              </w:rPr>
              <w:t>Governance</w:t>
            </w:r>
            <w:r w:rsidR="00E54311" w:rsidRPr="00F61431">
              <w:rPr>
                <w:rFonts w:ascii="Arial" w:hAnsi="Arial" w:cs="Arial"/>
                <w:sz w:val="15"/>
                <w:szCs w:val="15"/>
              </w:rPr>
              <w:t xml:space="preserve"> </w:t>
            </w:r>
            <w:r w:rsidR="0095254A" w:rsidRPr="00F61431">
              <w:rPr>
                <w:rFonts w:ascii="Arial" w:hAnsi="Arial" w:cs="Arial"/>
                <w:sz w:val="15"/>
                <w:szCs w:val="15"/>
              </w:rPr>
              <w:t xml:space="preserve">structures </w:t>
            </w:r>
            <w:r w:rsidR="00E54311" w:rsidRPr="00F61431">
              <w:rPr>
                <w:rFonts w:ascii="Arial" w:hAnsi="Arial" w:cs="Arial"/>
                <w:sz w:val="15"/>
                <w:szCs w:val="15"/>
              </w:rPr>
              <w:t xml:space="preserve">that address open </w:t>
            </w:r>
            <w:r w:rsidR="00176052">
              <w:rPr>
                <w:rFonts w:ascii="Arial" w:hAnsi="Arial" w:cs="Arial"/>
                <w:sz w:val="15"/>
                <w:szCs w:val="15"/>
              </w:rPr>
              <w:t xml:space="preserve">access </w:t>
            </w:r>
            <w:r w:rsidR="00E54311" w:rsidRPr="00F61431">
              <w:rPr>
                <w:rFonts w:ascii="Arial" w:hAnsi="Arial" w:cs="Arial"/>
                <w:sz w:val="15"/>
                <w:szCs w:val="15"/>
              </w:rPr>
              <w:t>information are</w:t>
            </w:r>
            <w:r w:rsidRPr="00F61431">
              <w:rPr>
                <w:rFonts w:ascii="Arial" w:hAnsi="Arial" w:cs="Arial"/>
                <w:sz w:val="15"/>
                <w:szCs w:val="15"/>
              </w:rPr>
              <w:t xml:space="preserve"> in place to meet annual </w:t>
            </w:r>
            <w:r w:rsidR="00E54311" w:rsidRPr="00F61431">
              <w:rPr>
                <w:rFonts w:ascii="Arial" w:hAnsi="Arial" w:cs="Arial"/>
                <w:sz w:val="15"/>
                <w:szCs w:val="15"/>
              </w:rPr>
              <w:t xml:space="preserve">information access </w:t>
            </w:r>
            <w:r w:rsidRPr="00F61431">
              <w:rPr>
                <w:rFonts w:ascii="Arial" w:hAnsi="Arial" w:cs="Arial"/>
                <w:sz w:val="15"/>
                <w:szCs w:val="15"/>
              </w:rPr>
              <w:t>reporting requirements</w:t>
            </w:r>
            <w:r w:rsidR="00E54311" w:rsidRPr="00F61431">
              <w:rPr>
                <w:rFonts w:ascii="Arial" w:hAnsi="Arial" w:cs="Arial"/>
                <w:sz w:val="15"/>
                <w:szCs w:val="15"/>
              </w:rPr>
              <w:t>.</w:t>
            </w:r>
          </w:p>
        </w:tc>
        <w:tc>
          <w:tcPr>
            <w:tcW w:w="3574" w:type="dxa"/>
          </w:tcPr>
          <w:p w14:paraId="14B50A2B" w14:textId="631C9CD0" w:rsidR="007E67CD" w:rsidRPr="00F61431" w:rsidRDefault="007255D9" w:rsidP="007E67CD">
            <w:pPr>
              <w:rPr>
                <w:rFonts w:ascii="Arial" w:hAnsi="Arial" w:cs="Arial"/>
                <w:sz w:val="15"/>
                <w:szCs w:val="15"/>
              </w:rPr>
            </w:pPr>
            <w:r w:rsidRPr="00F61431">
              <w:rPr>
                <w:rFonts w:ascii="Arial" w:hAnsi="Arial" w:cs="Arial"/>
                <w:sz w:val="15"/>
                <w:szCs w:val="15"/>
              </w:rPr>
              <w:t xml:space="preserve">Governance </w:t>
            </w:r>
            <w:r w:rsidR="0095254A" w:rsidRPr="00F61431">
              <w:rPr>
                <w:rFonts w:ascii="Arial" w:hAnsi="Arial" w:cs="Arial"/>
                <w:sz w:val="15"/>
                <w:szCs w:val="15"/>
              </w:rPr>
              <w:t xml:space="preserve">structures </w:t>
            </w:r>
            <w:r w:rsidR="00E54311" w:rsidRPr="00F61431">
              <w:rPr>
                <w:rFonts w:ascii="Arial" w:hAnsi="Arial" w:cs="Arial"/>
                <w:sz w:val="15"/>
                <w:szCs w:val="15"/>
              </w:rPr>
              <w:t xml:space="preserve">that address open </w:t>
            </w:r>
            <w:r w:rsidR="00176052">
              <w:rPr>
                <w:rFonts w:ascii="Arial" w:hAnsi="Arial" w:cs="Arial"/>
                <w:sz w:val="15"/>
                <w:szCs w:val="15"/>
              </w:rPr>
              <w:t xml:space="preserve">access </w:t>
            </w:r>
            <w:r w:rsidR="00E54311" w:rsidRPr="00F61431">
              <w:rPr>
                <w:rFonts w:ascii="Arial" w:hAnsi="Arial" w:cs="Arial"/>
                <w:sz w:val="15"/>
                <w:szCs w:val="15"/>
              </w:rPr>
              <w:t xml:space="preserve">information </w:t>
            </w:r>
            <w:r w:rsidRPr="00F61431">
              <w:rPr>
                <w:rFonts w:ascii="Arial" w:hAnsi="Arial" w:cs="Arial"/>
                <w:sz w:val="15"/>
                <w:szCs w:val="15"/>
              </w:rPr>
              <w:t>are integrated</w:t>
            </w:r>
            <w:r w:rsidR="00E54311" w:rsidRPr="00F61431">
              <w:rPr>
                <w:rFonts w:ascii="Arial" w:hAnsi="Arial" w:cs="Arial"/>
                <w:sz w:val="15"/>
                <w:szCs w:val="15"/>
              </w:rPr>
              <w:t xml:space="preserve"> into</w:t>
            </w:r>
            <w:r w:rsidRPr="00F61431">
              <w:rPr>
                <w:rFonts w:ascii="Arial" w:hAnsi="Arial" w:cs="Arial"/>
                <w:sz w:val="15"/>
                <w:szCs w:val="15"/>
              </w:rPr>
              <w:t xml:space="preserve"> wider </w:t>
            </w:r>
            <w:r w:rsidR="00E54311" w:rsidRPr="00F61431">
              <w:rPr>
                <w:rFonts w:ascii="Arial" w:hAnsi="Arial" w:cs="Arial"/>
                <w:sz w:val="15"/>
                <w:szCs w:val="15"/>
              </w:rPr>
              <w:t xml:space="preserve">organisational </w:t>
            </w:r>
            <w:r w:rsidRPr="00F61431">
              <w:rPr>
                <w:rFonts w:ascii="Arial" w:hAnsi="Arial" w:cs="Arial"/>
                <w:sz w:val="15"/>
                <w:szCs w:val="15"/>
              </w:rPr>
              <w:t>governance</w:t>
            </w:r>
            <w:r w:rsidR="00E54311" w:rsidRPr="00F61431">
              <w:rPr>
                <w:rFonts w:ascii="Arial" w:hAnsi="Arial" w:cs="Arial"/>
                <w:sz w:val="15"/>
                <w:szCs w:val="15"/>
              </w:rPr>
              <w:t xml:space="preserve"> and encompass communicating broader open access</w:t>
            </w:r>
            <w:r w:rsidR="00456A41">
              <w:rPr>
                <w:rFonts w:ascii="Arial" w:hAnsi="Arial" w:cs="Arial"/>
                <w:sz w:val="15"/>
                <w:szCs w:val="15"/>
              </w:rPr>
              <w:t xml:space="preserve"> information</w:t>
            </w:r>
            <w:r w:rsidR="00E54311" w:rsidRPr="00F61431">
              <w:rPr>
                <w:rFonts w:ascii="Arial" w:hAnsi="Arial" w:cs="Arial"/>
                <w:sz w:val="15"/>
                <w:szCs w:val="15"/>
              </w:rPr>
              <w:t xml:space="preserve"> goals beyond annual reporting requirements.</w:t>
            </w:r>
          </w:p>
        </w:tc>
        <w:tc>
          <w:tcPr>
            <w:tcW w:w="3570" w:type="dxa"/>
          </w:tcPr>
          <w:p w14:paraId="0053C1EF" w14:textId="5951F8E1" w:rsidR="007E67CD" w:rsidRPr="00F61431" w:rsidRDefault="00B674D1" w:rsidP="007E67CD">
            <w:pPr>
              <w:rPr>
                <w:rFonts w:ascii="Arial" w:hAnsi="Arial" w:cs="Arial"/>
                <w:sz w:val="15"/>
                <w:szCs w:val="15"/>
              </w:rPr>
            </w:pPr>
            <w:r w:rsidRPr="00F61431">
              <w:rPr>
                <w:rFonts w:ascii="Arial" w:hAnsi="Arial" w:cs="Arial"/>
                <w:sz w:val="15"/>
                <w:szCs w:val="15"/>
              </w:rPr>
              <w:t>Integrated g</w:t>
            </w:r>
            <w:r w:rsidR="007255D9" w:rsidRPr="00F61431">
              <w:rPr>
                <w:rFonts w:ascii="Arial" w:hAnsi="Arial" w:cs="Arial"/>
                <w:sz w:val="15"/>
                <w:szCs w:val="15"/>
              </w:rPr>
              <w:t xml:space="preserve">overnance </w:t>
            </w:r>
            <w:r w:rsidR="0095254A" w:rsidRPr="00F61431">
              <w:rPr>
                <w:rFonts w:ascii="Arial" w:hAnsi="Arial" w:cs="Arial"/>
                <w:sz w:val="15"/>
                <w:szCs w:val="15"/>
              </w:rPr>
              <w:t xml:space="preserve">structures </w:t>
            </w:r>
            <w:r w:rsidR="00E54311" w:rsidRPr="00F61431">
              <w:rPr>
                <w:rFonts w:ascii="Arial" w:hAnsi="Arial" w:cs="Arial"/>
                <w:sz w:val="15"/>
                <w:szCs w:val="15"/>
              </w:rPr>
              <w:t xml:space="preserve">address open </w:t>
            </w:r>
            <w:r w:rsidR="00456A41">
              <w:rPr>
                <w:rFonts w:ascii="Arial" w:hAnsi="Arial" w:cs="Arial"/>
                <w:sz w:val="15"/>
                <w:szCs w:val="15"/>
              </w:rPr>
              <w:t xml:space="preserve">access </w:t>
            </w:r>
            <w:r w:rsidR="00E54311" w:rsidRPr="00F61431">
              <w:rPr>
                <w:rFonts w:ascii="Arial" w:hAnsi="Arial" w:cs="Arial"/>
                <w:sz w:val="15"/>
                <w:szCs w:val="15"/>
              </w:rPr>
              <w:t>information</w:t>
            </w:r>
            <w:r w:rsidR="00CD73C8">
              <w:rPr>
                <w:rFonts w:ascii="Arial" w:hAnsi="Arial" w:cs="Arial"/>
                <w:sz w:val="15"/>
                <w:szCs w:val="15"/>
              </w:rPr>
              <w:t xml:space="preserve"> and </w:t>
            </w:r>
            <w:r w:rsidR="00575801" w:rsidRPr="00F61431">
              <w:rPr>
                <w:rFonts w:ascii="Arial" w:hAnsi="Arial" w:cs="Arial"/>
                <w:sz w:val="15"/>
                <w:szCs w:val="15"/>
              </w:rPr>
              <w:t>account for</w:t>
            </w:r>
            <w:r w:rsidR="00E54311" w:rsidRPr="00F61431">
              <w:rPr>
                <w:rFonts w:ascii="Arial" w:hAnsi="Arial" w:cs="Arial"/>
                <w:sz w:val="15"/>
                <w:szCs w:val="15"/>
              </w:rPr>
              <w:t xml:space="preserve"> the roles</w:t>
            </w:r>
            <w:r w:rsidRPr="00F61431">
              <w:rPr>
                <w:rFonts w:ascii="Arial" w:hAnsi="Arial" w:cs="Arial"/>
                <w:sz w:val="15"/>
                <w:szCs w:val="15"/>
              </w:rPr>
              <w:t xml:space="preserve"> and responsibilities</w:t>
            </w:r>
            <w:r w:rsidR="00E54311" w:rsidRPr="00F61431">
              <w:rPr>
                <w:rFonts w:ascii="Arial" w:hAnsi="Arial" w:cs="Arial"/>
                <w:sz w:val="15"/>
                <w:szCs w:val="15"/>
              </w:rPr>
              <w:t xml:space="preserve"> played by</w:t>
            </w:r>
            <w:r w:rsidR="007255D9" w:rsidRPr="00F61431">
              <w:rPr>
                <w:rFonts w:ascii="Arial" w:hAnsi="Arial" w:cs="Arial"/>
                <w:sz w:val="15"/>
                <w:szCs w:val="15"/>
              </w:rPr>
              <w:t xml:space="preserve"> </w:t>
            </w:r>
            <w:r w:rsidRPr="00F61431">
              <w:rPr>
                <w:rFonts w:ascii="Arial" w:hAnsi="Arial" w:cs="Arial"/>
                <w:sz w:val="15"/>
                <w:szCs w:val="15"/>
              </w:rPr>
              <w:t>every</w:t>
            </w:r>
            <w:r w:rsidR="007255D9" w:rsidRPr="00F61431">
              <w:rPr>
                <w:rFonts w:ascii="Arial" w:hAnsi="Arial" w:cs="Arial"/>
                <w:sz w:val="15"/>
                <w:szCs w:val="15"/>
              </w:rPr>
              <w:t xml:space="preserve"> level of</w:t>
            </w:r>
            <w:r w:rsidRPr="00F61431">
              <w:rPr>
                <w:rFonts w:ascii="Arial" w:hAnsi="Arial" w:cs="Arial"/>
                <w:sz w:val="15"/>
                <w:szCs w:val="15"/>
              </w:rPr>
              <w:t xml:space="preserve"> the</w:t>
            </w:r>
            <w:r w:rsidR="007255D9" w:rsidRPr="00F61431">
              <w:rPr>
                <w:rFonts w:ascii="Arial" w:hAnsi="Arial" w:cs="Arial"/>
                <w:sz w:val="15"/>
                <w:szCs w:val="15"/>
              </w:rPr>
              <w:t xml:space="preserve"> organisation</w:t>
            </w:r>
            <w:r w:rsidRPr="00F61431">
              <w:rPr>
                <w:rFonts w:ascii="Arial" w:hAnsi="Arial" w:cs="Arial"/>
                <w:sz w:val="15"/>
                <w:szCs w:val="15"/>
              </w:rPr>
              <w:t xml:space="preserve"> in pursuing broader open</w:t>
            </w:r>
            <w:r w:rsidR="00C30FF8">
              <w:rPr>
                <w:rFonts w:ascii="Arial" w:hAnsi="Arial" w:cs="Arial"/>
                <w:sz w:val="15"/>
                <w:szCs w:val="15"/>
              </w:rPr>
              <w:t xml:space="preserve"> access</w:t>
            </w:r>
            <w:r w:rsidRPr="00F61431">
              <w:rPr>
                <w:rFonts w:ascii="Arial" w:hAnsi="Arial" w:cs="Arial"/>
                <w:sz w:val="15"/>
                <w:szCs w:val="15"/>
              </w:rPr>
              <w:t xml:space="preserve"> information access goals.</w:t>
            </w:r>
          </w:p>
        </w:tc>
      </w:tr>
      <w:tr w:rsidR="004D64B2" w:rsidRPr="00F61431" w14:paraId="458C5BFD" w14:textId="77777777" w:rsidTr="00716A39">
        <w:trPr>
          <w:cantSplit/>
        </w:trPr>
        <w:tc>
          <w:tcPr>
            <w:tcW w:w="1297" w:type="dxa"/>
            <w:shd w:val="clear" w:color="auto" w:fill="222A35" w:themeFill="text2" w:themeFillShade="80"/>
          </w:tcPr>
          <w:p w14:paraId="436CF940" w14:textId="7A5F5CA7" w:rsidR="007E67CD" w:rsidRPr="00716A39" w:rsidRDefault="007E67CD" w:rsidP="00B71DDC">
            <w:pPr>
              <w:rPr>
                <w:rFonts w:ascii="Arial" w:hAnsi="Arial" w:cs="Arial"/>
                <w:b/>
                <w:bCs/>
                <w:color w:val="FFFFFF" w:themeColor="background1"/>
                <w:sz w:val="18"/>
                <w:szCs w:val="18"/>
              </w:rPr>
            </w:pPr>
            <w:r w:rsidRPr="00716A39">
              <w:rPr>
                <w:rFonts w:ascii="Arial" w:hAnsi="Arial" w:cs="Arial"/>
                <w:b/>
                <w:bCs/>
                <w:color w:val="FFFFFF" w:themeColor="background1"/>
                <w:sz w:val="18"/>
                <w:szCs w:val="18"/>
              </w:rPr>
              <w:t xml:space="preserve">Open </w:t>
            </w:r>
            <w:r w:rsidR="0064240C" w:rsidRPr="00716A39">
              <w:rPr>
                <w:rFonts w:ascii="Arial" w:hAnsi="Arial" w:cs="Arial"/>
                <w:b/>
                <w:bCs/>
                <w:color w:val="FFFFFF" w:themeColor="background1"/>
                <w:sz w:val="18"/>
                <w:szCs w:val="18"/>
              </w:rPr>
              <w:t>A</w:t>
            </w:r>
            <w:r w:rsidRPr="00716A39">
              <w:rPr>
                <w:rFonts w:ascii="Arial" w:hAnsi="Arial" w:cs="Arial"/>
                <w:b/>
                <w:bCs/>
                <w:color w:val="FFFFFF" w:themeColor="background1"/>
                <w:sz w:val="18"/>
                <w:szCs w:val="18"/>
              </w:rPr>
              <w:t xml:space="preserve">ccess </w:t>
            </w:r>
            <w:r w:rsidR="0064240C" w:rsidRPr="00716A39">
              <w:rPr>
                <w:rFonts w:ascii="Arial" w:hAnsi="Arial" w:cs="Arial"/>
                <w:b/>
                <w:bCs/>
                <w:color w:val="FFFFFF" w:themeColor="background1"/>
                <w:sz w:val="18"/>
                <w:szCs w:val="18"/>
              </w:rPr>
              <w:t>I</w:t>
            </w:r>
            <w:r w:rsidRPr="00716A39">
              <w:rPr>
                <w:rFonts w:ascii="Arial" w:hAnsi="Arial" w:cs="Arial"/>
                <w:b/>
                <w:bCs/>
                <w:color w:val="FFFFFF" w:themeColor="background1"/>
                <w:sz w:val="18"/>
                <w:szCs w:val="18"/>
              </w:rPr>
              <w:t>nformation</w:t>
            </w:r>
          </w:p>
        </w:tc>
        <w:tc>
          <w:tcPr>
            <w:tcW w:w="3573" w:type="dxa"/>
          </w:tcPr>
          <w:p w14:paraId="6DCAF369" w14:textId="77777777" w:rsidR="007E67CD" w:rsidRDefault="007255D9" w:rsidP="007E67CD">
            <w:pPr>
              <w:rPr>
                <w:rFonts w:ascii="Arial" w:hAnsi="Arial" w:cs="Arial"/>
                <w:sz w:val="15"/>
                <w:szCs w:val="15"/>
              </w:rPr>
            </w:pPr>
            <w:r w:rsidRPr="00F61431">
              <w:rPr>
                <w:rFonts w:ascii="Arial" w:hAnsi="Arial" w:cs="Arial"/>
                <w:sz w:val="15"/>
                <w:szCs w:val="15"/>
              </w:rPr>
              <w:t xml:space="preserve">Open access </w:t>
            </w:r>
            <w:r w:rsidR="008E21D3">
              <w:rPr>
                <w:rFonts w:ascii="Arial" w:hAnsi="Arial" w:cs="Arial"/>
                <w:sz w:val="15"/>
                <w:szCs w:val="15"/>
              </w:rPr>
              <w:t xml:space="preserve">information </w:t>
            </w:r>
            <w:r w:rsidRPr="00F61431">
              <w:rPr>
                <w:rFonts w:ascii="Arial" w:hAnsi="Arial" w:cs="Arial"/>
                <w:sz w:val="15"/>
                <w:szCs w:val="15"/>
              </w:rPr>
              <w:t xml:space="preserve">is largely or wholly </w:t>
            </w:r>
            <w:r w:rsidR="00E54311" w:rsidRPr="00F61431">
              <w:rPr>
                <w:rFonts w:ascii="Arial" w:hAnsi="Arial" w:cs="Arial"/>
                <w:sz w:val="15"/>
                <w:szCs w:val="15"/>
              </w:rPr>
              <w:t>un</w:t>
            </w:r>
            <w:r w:rsidRPr="00F61431">
              <w:rPr>
                <w:rFonts w:ascii="Arial" w:hAnsi="Arial" w:cs="Arial"/>
                <w:sz w:val="15"/>
                <w:szCs w:val="15"/>
              </w:rPr>
              <w:t xml:space="preserve">available. </w:t>
            </w:r>
            <w:r w:rsidR="00E54311" w:rsidRPr="00F61431">
              <w:rPr>
                <w:rFonts w:ascii="Arial" w:hAnsi="Arial" w:cs="Arial"/>
                <w:sz w:val="15"/>
                <w:szCs w:val="15"/>
              </w:rPr>
              <w:t>A way to provide</w:t>
            </w:r>
            <w:r w:rsidRPr="00F61431">
              <w:rPr>
                <w:rFonts w:ascii="Arial" w:hAnsi="Arial" w:cs="Arial"/>
                <w:sz w:val="15"/>
                <w:szCs w:val="15"/>
              </w:rPr>
              <w:t xml:space="preserve"> </w:t>
            </w:r>
            <w:r w:rsidR="008E21D3">
              <w:rPr>
                <w:rFonts w:ascii="Arial" w:hAnsi="Arial" w:cs="Arial"/>
                <w:sz w:val="15"/>
                <w:szCs w:val="15"/>
              </w:rPr>
              <w:t xml:space="preserve">open </w:t>
            </w:r>
            <w:r w:rsidRPr="00F61431">
              <w:rPr>
                <w:rFonts w:ascii="Arial" w:hAnsi="Arial" w:cs="Arial"/>
                <w:sz w:val="15"/>
                <w:szCs w:val="15"/>
              </w:rPr>
              <w:t>access information free of charge</w:t>
            </w:r>
            <w:r w:rsidR="00E54311" w:rsidRPr="00F61431">
              <w:rPr>
                <w:rFonts w:ascii="Arial" w:hAnsi="Arial" w:cs="Arial"/>
                <w:sz w:val="15"/>
                <w:szCs w:val="15"/>
              </w:rPr>
              <w:t xml:space="preserve"> is not yet implemented</w:t>
            </w:r>
            <w:r w:rsidRPr="00F61431">
              <w:rPr>
                <w:rFonts w:ascii="Arial" w:hAnsi="Arial" w:cs="Arial"/>
                <w:sz w:val="15"/>
                <w:szCs w:val="15"/>
              </w:rPr>
              <w:t>. The Agency Information Guide does not meet requirements</w:t>
            </w:r>
            <w:r w:rsidR="00E54311" w:rsidRPr="00F61431">
              <w:rPr>
                <w:rFonts w:ascii="Arial" w:hAnsi="Arial" w:cs="Arial"/>
                <w:sz w:val="15"/>
                <w:szCs w:val="15"/>
              </w:rPr>
              <w:t xml:space="preserve"> or is not being updated. </w:t>
            </w:r>
          </w:p>
          <w:p w14:paraId="46A2E800" w14:textId="235E337B" w:rsidR="00741756" w:rsidRPr="00741756" w:rsidRDefault="00741756" w:rsidP="00741756">
            <w:pPr>
              <w:rPr>
                <w:rFonts w:ascii="Arial" w:hAnsi="Arial" w:cs="Arial"/>
                <w:sz w:val="15"/>
                <w:szCs w:val="15"/>
              </w:rPr>
            </w:pPr>
          </w:p>
        </w:tc>
        <w:tc>
          <w:tcPr>
            <w:tcW w:w="3574" w:type="dxa"/>
          </w:tcPr>
          <w:p w14:paraId="72AB1EC4" w14:textId="45403CCD" w:rsidR="007E67CD" w:rsidRPr="00F61431" w:rsidRDefault="007255D9" w:rsidP="007E67CD">
            <w:pPr>
              <w:rPr>
                <w:rFonts w:ascii="Arial" w:hAnsi="Arial" w:cs="Arial"/>
                <w:sz w:val="15"/>
                <w:szCs w:val="15"/>
              </w:rPr>
            </w:pPr>
            <w:r w:rsidRPr="00F61431">
              <w:rPr>
                <w:rFonts w:ascii="Arial" w:hAnsi="Arial" w:cs="Arial"/>
                <w:sz w:val="15"/>
                <w:szCs w:val="15"/>
              </w:rPr>
              <w:t xml:space="preserve">Open access information is publicly available. A website provides open access </w:t>
            </w:r>
            <w:r w:rsidR="008E21D3">
              <w:rPr>
                <w:rFonts w:ascii="Arial" w:hAnsi="Arial" w:cs="Arial"/>
                <w:sz w:val="15"/>
                <w:szCs w:val="15"/>
              </w:rPr>
              <w:t xml:space="preserve">information </w:t>
            </w:r>
            <w:r w:rsidRPr="00F61431">
              <w:rPr>
                <w:rFonts w:ascii="Arial" w:hAnsi="Arial" w:cs="Arial"/>
                <w:sz w:val="15"/>
                <w:szCs w:val="15"/>
              </w:rPr>
              <w:t xml:space="preserve">as well as an up-to-date and compliant Agency Information Guide. A record is kept of the information where there is overriding public access against disclosure. </w:t>
            </w:r>
          </w:p>
        </w:tc>
        <w:tc>
          <w:tcPr>
            <w:tcW w:w="3574" w:type="dxa"/>
          </w:tcPr>
          <w:p w14:paraId="7F4FE43D" w14:textId="5752EF03" w:rsidR="007E67CD" w:rsidRPr="00F61431" w:rsidRDefault="009C7B53" w:rsidP="007E67CD">
            <w:pPr>
              <w:rPr>
                <w:rFonts w:ascii="Arial" w:hAnsi="Arial" w:cs="Arial"/>
                <w:sz w:val="15"/>
                <w:szCs w:val="15"/>
              </w:rPr>
            </w:pPr>
            <w:r w:rsidRPr="00F61431">
              <w:rPr>
                <w:rFonts w:ascii="Arial" w:hAnsi="Arial" w:cs="Arial"/>
                <w:sz w:val="15"/>
                <w:szCs w:val="15"/>
              </w:rPr>
              <w:t xml:space="preserve">Open access information is made publicly available as a matter of course through business-as-usual activities and provided through free of charge access channels. The record of information where there is overriding public access against disclosure is regularly reviewed to identify where considerations have changed, and information can be made public. </w:t>
            </w:r>
          </w:p>
        </w:tc>
        <w:tc>
          <w:tcPr>
            <w:tcW w:w="3570" w:type="dxa"/>
          </w:tcPr>
          <w:p w14:paraId="36F3E45C" w14:textId="27604B3F" w:rsidR="007E67CD" w:rsidRPr="00F61431" w:rsidRDefault="009C7B53" w:rsidP="007E67CD">
            <w:pPr>
              <w:rPr>
                <w:rFonts w:ascii="Arial" w:hAnsi="Arial" w:cs="Arial"/>
                <w:sz w:val="15"/>
                <w:szCs w:val="15"/>
              </w:rPr>
            </w:pPr>
            <w:r w:rsidRPr="00F61431">
              <w:rPr>
                <w:rFonts w:ascii="Arial" w:hAnsi="Arial" w:cs="Arial"/>
                <w:sz w:val="15"/>
                <w:szCs w:val="15"/>
              </w:rPr>
              <w:t xml:space="preserve">Processes are in place to </w:t>
            </w:r>
            <w:r w:rsidR="006A4810">
              <w:rPr>
                <w:rFonts w:ascii="Arial" w:hAnsi="Arial" w:cs="Arial"/>
                <w:sz w:val="15"/>
                <w:szCs w:val="15"/>
              </w:rPr>
              <w:t xml:space="preserve">continuously </w:t>
            </w:r>
            <w:r w:rsidRPr="00F61431">
              <w:rPr>
                <w:rFonts w:ascii="Arial" w:hAnsi="Arial" w:cs="Arial"/>
                <w:sz w:val="15"/>
                <w:szCs w:val="15"/>
              </w:rPr>
              <w:t>improve the provision of open access information</w:t>
            </w:r>
            <w:r w:rsidR="005B2489" w:rsidRPr="00F61431">
              <w:rPr>
                <w:rFonts w:ascii="Arial" w:hAnsi="Arial" w:cs="Arial"/>
                <w:sz w:val="15"/>
                <w:szCs w:val="15"/>
              </w:rPr>
              <w:t>,</w:t>
            </w:r>
            <w:r w:rsidRPr="00F61431">
              <w:rPr>
                <w:rFonts w:ascii="Arial" w:hAnsi="Arial" w:cs="Arial"/>
                <w:sz w:val="15"/>
                <w:szCs w:val="15"/>
              </w:rPr>
              <w:t xml:space="preserve"> including availability of different formats and access channels which best meet the needs of the users of open </w:t>
            </w:r>
            <w:r w:rsidR="00AB3B33">
              <w:rPr>
                <w:rFonts w:ascii="Arial" w:hAnsi="Arial" w:cs="Arial"/>
                <w:sz w:val="15"/>
                <w:szCs w:val="15"/>
              </w:rPr>
              <w:t>access information</w:t>
            </w:r>
            <w:r w:rsidRPr="00F61431">
              <w:rPr>
                <w:rFonts w:ascii="Arial" w:hAnsi="Arial" w:cs="Arial"/>
                <w:sz w:val="15"/>
                <w:szCs w:val="15"/>
              </w:rPr>
              <w:t xml:space="preserve">. </w:t>
            </w:r>
          </w:p>
        </w:tc>
      </w:tr>
      <w:tr w:rsidR="004D64B2" w:rsidRPr="00F61431" w14:paraId="0979C2E5" w14:textId="77777777" w:rsidTr="00716A39">
        <w:trPr>
          <w:cantSplit/>
        </w:trPr>
        <w:tc>
          <w:tcPr>
            <w:tcW w:w="1297" w:type="dxa"/>
            <w:shd w:val="clear" w:color="auto" w:fill="222A35" w:themeFill="text2" w:themeFillShade="80"/>
          </w:tcPr>
          <w:p w14:paraId="34B1C616" w14:textId="3B7174FC" w:rsidR="007E67CD" w:rsidRPr="00716A39" w:rsidRDefault="007E67CD" w:rsidP="00B71DDC">
            <w:pPr>
              <w:rPr>
                <w:rFonts w:ascii="Arial" w:hAnsi="Arial" w:cs="Arial"/>
                <w:b/>
                <w:bCs/>
                <w:color w:val="FFFFFF" w:themeColor="background1"/>
                <w:sz w:val="18"/>
                <w:szCs w:val="18"/>
              </w:rPr>
            </w:pPr>
            <w:r w:rsidRPr="00716A39">
              <w:rPr>
                <w:rFonts w:ascii="Arial" w:hAnsi="Arial" w:cs="Arial"/>
                <w:b/>
                <w:bCs/>
                <w:color w:val="FFFFFF" w:themeColor="background1"/>
                <w:sz w:val="18"/>
                <w:szCs w:val="18"/>
              </w:rPr>
              <w:t xml:space="preserve">Contract </w:t>
            </w:r>
            <w:r w:rsidR="0064240C" w:rsidRPr="00716A39">
              <w:rPr>
                <w:rFonts w:ascii="Arial" w:hAnsi="Arial" w:cs="Arial"/>
                <w:b/>
                <w:bCs/>
                <w:color w:val="FFFFFF" w:themeColor="background1"/>
                <w:sz w:val="18"/>
                <w:szCs w:val="18"/>
              </w:rPr>
              <w:t>R</w:t>
            </w:r>
            <w:r w:rsidRPr="00716A39">
              <w:rPr>
                <w:rFonts w:ascii="Arial" w:hAnsi="Arial" w:cs="Arial"/>
                <w:b/>
                <w:bCs/>
                <w:color w:val="FFFFFF" w:themeColor="background1"/>
                <w:sz w:val="18"/>
                <w:szCs w:val="18"/>
              </w:rPr>
              <w:t>egister</w:t>
            </w:r>
          </w:p>
        </w:tc>
        <w:tc>
          <w:tcPr>
            <w:tcW w:w="3573" w:type="dxa"/>
          </w:tcPr>
          <w:p w14:paraId="23091748" w14:textId="05123B36" w:rsidR="00741756" w:rsidRPr="00741756" w:rsidRDefault="005A5CC5" w:rsidP="00741756">
            <w:pPr>
              <w:rPr>
                <w:rFonts w:ascii="Arial" w:hAnsi="Arial" w:cs="Arial"/>
                <w:sz w:val="15"/>
                <w:szCs w:val="15"/>
              </w:rPr>
            </w:pPr>
            <w:r w:rsidRPr="00F61431">
              <w:rPr>
                <w:rFonts w:ascii="Arial" w:hAnsi="Arial" w:cs="Arial"/>
                <w:sz w:val="15"/>
                <w:szCs w:val="15"/>
              </w:rPr>
              <w:t>The organisation’s government contract register</w:t>
            </w:r>
            <w:r w:rsidR="00F0266D">
              <w:rPr>
                <w:rFonts w:ascii="Arial" w:hAnsi="Arial" w:cs="Arial"/>
                <w:sz w:val="15"/>
                <w:szCs w:val="15"/>
              </w:rPr>
              <w:t xml:space="preserve"> is not kept</w:t>
            </w:r>
            <w:r w:rsidR="005843FB">
              <w:rPr>
                <w:rFonts w:ascii="Arial" w:hAnsi="Arial" w:cs="Arial"/>
                <w:sz w:val="15"/>
                <w:szCs w:val="15"/>
              </w:rPr>
              <w:t>.</w:t>
            </w:r>
          </w:p>
        </w:tc>
        <w:tc>
          <w:tcPr>
            <w:tcW w:w="3574" w:type="dxa"/>
          </w:tcPr>
          <w:p w14:paraId="2ECEDE1A" w14:textId="351E19F0" w:rsidR="007E67CD" w:rsidRPr="00F61431" w:rsidRDefault="005A5CC5" w:rsidP="007E67CD">
            <w:pPr>
              <w:rPr>
                <w:rFonts w:ascii="Arial" w:hAnsi="Arial" w:cs="Arial"/>
                <w:sz w:val="15"/>
                <w:szCs w:val="15"/>
              </w:rPr>
            </w:pPr>
            <w:r w:rsidRPr="00F61431">
              <w:rPr>
                <w:rFonts w:ascii="Arial" w:hAnsi="Arial" w:cs="Arial"/>
                <w:sz w:val="15"/>
                <w:szCs w:val="15"/>
              </w:rPr>
              <w:t>The organisation’s government contract register is</w:t>
            </w:r>
            <w:r w:rsidR="005843FB">
              <w:rPr>
                <w:rFonts w:ascii="Arial" w:hAnsi="Arial" w:cs="Arial"/>
                <w:sz w:val="15"/>
                <w:szCs w:val="15"/>
              </w:rPr>
              <w:t xml:space="preserve"> kept but is </w:t>
            </w:r>
            <w:r w:rsidR="005843FB" w:rsidRPr="00F61431">
              <w:rPr>
                <w:rFonts w:ascii="Arial" w:hAnsi="Arial" w:cs="Arial"/>
                <w:sz w:val="15"/>
                <w:szCs w:val="15"/>
              </w:rPr>
              <w:t>incomplete, is out-of-date</w:t>
            </w:r>
            <w:r w:rsidR="005843FB">
              <w:rPr>
                <w:rFonts w:ascii="Arial" w:hAnsi="Arial" w:cs="Arial"/>
                <w:sz w:val="15"/>
                <w:szCs w:val="15"/>
              </w:rPr>
              <w:t xml:space="preserve"> or is not </w:t>
            </w:r>
            <w:r w:rsidR="005843FB" w:rsidRPr="00F61431">
              <w:rPr>
                <w:rFonts w:ascii="Arial" w:hAnsi="Arial" w:cs="Arial"/>
                <w:sz w:val="15"/>
                <w:szCs w:val="15"/>
              </w:rPr>
              <w:t>made available free-of-charge on the organisation’s website</w:t>
            </w:r>
            <w:r w:rsidRPr="00F61431">
              <w:rPr>
                <w:rFonts w:ascii="Arial" w:hAnsi="Arial" w:cs="Arial"/>
                <w:sz w:val="15"/>
                <w:szCs w:val="15"/>
              </w:rPr>
              <w:t xml:space="preserve"> </w:t>
            </w:r>
          </w:p>
        </w:tc>
        <w:tc>
          <w:tcPr>
            <w:tcW w:w="3574" w:type="dxa"/>
          </w:tcPr>
          <w:p w14:paraId="091E7017" w14:textId="61400DCC" w:rsidR="007E67CD" w:rsidRPr="00F61431" w:rsidRDefault="005A5CC5" w:rsidP="007E67CD">
            <w:pPr>
              <w:rPr>
                <w:rFonts w:ascii="Arial" w:hAnsi="Arial" w:cs="Arial"/>
                <w:sz w:val="15"/>
                <w:szCs w:val="15"/>
              </w:rPr>
            </w:pPr>
            <w:r w:rsidRPr="00F61431">
              <w:rPr>
                <w:rFonts w:ascii="Arial" w:hAnsi="Arial" w:cs="Arial"/>
                <w:sz w:val="15"/>
                <w:szCs w:val="15"/>
              </w:rPr>
              <w:t>The organisation’s government contract register is compliant, available free-of-charge, and up-to-date. Business-as-usual processes include appropriate access and procedures to continually update the register.</w:t>
            </w:r>
          </w:p>
        </w:tc>
        <w:tc>
          <w:tcPr>
            <w:tcW w:w="3570" w:type="dxa"/>
          </w:tcPr>
          <w:p w14:paraId="6FBEE590" w14:textId="1100D2C1" w:rsidR="007E67CD" w:rsidRPr="00F61431" w:rsidRDefault="005A5CC5" w:rsidP="007E67CD">
            <w:pPr>
              <w:rPr>
                <w:rFonts w:ascii="Arial" w:hAnsi="Arial" w:cs="Arial"/>
                <w:sz w:val="15"/>
                <w:szCs w:val="15"/>
              </w:rPr>
            </w:pPr>
            <w:r w:rsidRPr="00F61431">
              <w:rPr>
                <w:rFonts w:ascii="Arial" w:hAnsi="Arial" w:cs="Arial"/>
                <w:sz w:val="15"/>
                <w:szCs w:val="15"/>
              </w:rPr>
              <w:t>The organisation’s government contract register is compliant, available free-of-charge, and</w:t>
            </w:r>
            <w:r w:rsidR="005C177D" w:rsidRPr="00F61431">
              <w:rPr>
                <w:rFonts w:ascii="Arial" w:hAnsi="Arial" w:cs="Arial"/>
                <w:sz w:val="15"/>
                <w:szCs w:val="15"/>
              </w:rPr>
              <w:t xml:space="preserve"> is</w:t>
            </w:r>
            <w:r w:rsidRPr="00F61431">
              <w:rPr>
                <w:rFonts w:ascii="Arial" w:hAnsi="Arial" w:cs="Arial"/>
                <w:sz w:val="15"/>
                <w:szCs w:val="15"/>
              </w:rPr>
              <w:t xml:space="preserve"> up-to-date. Business-as-usual processes include appropriate access and procedures to continually update the register. An up-to-date register is easily accessible on the organisation’s website and clear communication channels provide an avenue for questions and feedback about the register. </w:t>
            </w:r>
          </w:p>
        </w:tc>
      </w:tr>
      <w:tr w:rsidR="004D64B2" w:rsidRPr="00F61431" w14:paraId="57BC7913" w14:textId="77777777" w:rsidTr="00716A39">
        <w:trPr>
          <w:cantSplit/>
        </w:trPr>
        <w:tc>
          <w:tcPr>
            <w:tcW w:w="1297" w:type="dxa"/>
            <w:shd w:val="clear" w:color="auto" w:fill="222A35" w:themeFill="text2" w:themeFillShade="80"/>
          </w:tcPr>
          <w:p w14:paraId="1F368F27" w14:textId="5BEE2943" w:rsidR="007E67CD" w:rsidRPr="00716A39" w:rsidRDefault="007E67CD" w:rsidP="00B71DDC">
            <w:pPr>
              <w:rPr>
                <w:rFonts w:ascii="Arial" w:hAnsi="Arial" w:cs="Arial"/>
                <w:b/>
                <w:bCs/>
                <w:color w:val="FFFFFF" w:themeColor="background1"/>
                <w:sz w:val="18"/>
                <w:szCs w:val="18"/>
              </w:rPr>
            </w:pPr>
            <w:r w:rsidRPr="00716A39">
              <w:rPr>
                <w:rFonts w:ascii="Arial" w:hAnsi="Arial" w:cs="Arial"/>
                <w:b/>
                <w:bCs/>
                <w:color w:val="FFFFFF" w:themeColor="background1"/>
                <w:sz w:val="18"/>
                <w:szCs w:val="18"/>
              </w:rPr>
              <w:t xml:space="preserve">Authorised </w:t>
            </w:r>
            <w:r w:rsidR="0064240C" w:rsidRPr="00716A39">
              <w:rPr>
                <w:rFonts w:ascii="Arial" w:hAnsi="Arial" w:cs="Arial"/>
                <w:b/>
                <w:bCs/>
                <w:color w:val="FFFFFF" w:themeColor="background1"/>
                <w:sz w:val="18"/>
                <w:szCs w:val="18"/>
              </w:rPr>
              <w:t>P</w:t>
            </w:r>
            <w:r w:rsidRPr="00716A39">
              <w:rPr>
                <w:rFonts w:ascii="Arial" w:hAnsi="Arial" w:cs="Arial"/>
                <w:b/>
                <w:bCs/>
                <w:color w:val="FFFFFF" w:themeColor="background1"/>
                <w:sz w:val="18"/>
                <w:szCs w:val="18"/>
              </w:rPr>
              <w:t xml:space="preserve">roactive </w:t>
            </w:r>
            <w:r w:rsidR="0064240C" w:rsidRPr="00716A39">
              <w:rPr>
                <w:rFonts w:ascii="Arial" w:hAnsi="Arial" w:cs="Arial"/>
                <w:b/>
                <w:bCs/>
                <w:color w:val="FFFFFF" w:themeColor="background1"/>
                <w:sz w:val="18"/>
                <w:szCs w:val="18"/>
              </w:rPr>
              <w:t>R</w:t>
            </w:r>
            <w:r w:rsidRPr="00716A39">
              <w:rPr>
                <w:rFonts w:ascii="Arial" w:hAnsi="Arial" w:cs="Arial"/>
                <w:b/>
                <w:bCs/>
                <w:color w:val="FFFFFF" w:themeColor="background1"/>
                <w:sz w:val="18"/>
                <w:szCs w:val="18"/>
              </w:rPr>
              <w:t>elease</w:t>
            </w:r>
          </w:p>
        </w:tc>
        <w:tc>
          <w:tcPr>
            <w:tcW w:w="3573" w:type="dxa"/>
          </w:tcPr>
          <w:p w14:paraId="645E6D82" w14:textId="77777777" w:rsidR="007E67CD" w:rsidRDefault="009B5E5F" w:rsidP="007E67CD">
            <w:pPr>
              <w:rPr>
                <w:rFonts w:ascii="Arial" w:hAnsi="Arial" w:cs="Arial"/>
                <w:sz w:val="15"/>
                <w:szCs w:val="15"/>
              </w:rPr>
            </w:pPr>
            <w:r w:rsidRPr="00F61431">
              <w:rPr>
                <w:rFonts w:ascii="Arial" w:hAnsi="Arial" w:cs="Arial"/>
                <w:sz w:val="15"/>
                <w:szCs w:val="15"/>
              </w:rPr>
              <w:t xml:space="preserve">There is an absence of arrangements to manage the pro-active release of information, or else </w:t>
            </w:r>
            <w:r w:rsidR="001E6537" w:rsidRPr="00F61431">
              <w:rPr>
                <w:rFonts w:ascii="Arial" w:hAnsi="Arial" w:cs="Arial"/>
                <w:sz w:val="15"/>
                <w:szCs w:val="15"/>
              </w:rPr>
              <w:t>release</w:t>
            </w:r>
            <w:r w:rsidRPr="00F61431">
              <w:rPr>
                <w:rFonts w:ascii="Arial" w:hAnsi="Arial" w:cs="Arial"/>
                <w:sz w:val="15"/>
                <w:szCs w:val="15"/>
              </w:rPr>
              <w:t xml:space="preserve"> </w:t>
            </w:r>
            <w:r w:rsidR="001E6537" w:rsidRPr="00F61431">
              <w:rPr>
                <w:rFonts w:ascii="Arial" w:hAnsi="Arial" w:cs="Arial"/>
                <w:sz w:val="15"/>
                <w:szCs w:val="15"/>
              </w:rPr>
              <w:t>conditions</w:t>
            </w:r>
            <w:r w:rsidRPr="00F61431">
              <w:rPr>
                <w:rFonts w:ascii="Arial" w:hAnsi="Arial" w:cs="Arial"/>
                <w:sz w:val="15"/>
                <w:szCs w:val="15"/>
              </w:rPr>
              <w:t xml:space="preserve"> </w:t>
            </w:r>
            <w:r w:rsidR="001E6537" w:rsidRPr="00F61431">
              <w:rPr>
                <w:rFonts w:ascii="Arial" w:hAnsi="Arial" w:cs="Arial"/>
                <w:sz w:val="15"/>
                <w:szCs w:val="15"/>
              </w:rPr>
              <w:t>are</w:t>
            </w:r>
            <w:r w:rsidRPr="00F61431">
              <w:rPr>
                <w:rFonts w:ascii="Arial" w:hAnsi="Arial" w:cs="Arial"/>
                <w:sz w:val="15"/>
                <w:szCs w:val="15"/>
              </w:rPr>
              <w:t xml:space="preserve"> prohibitive, such as not requiring </w:t>
            </w:r>
            <w:r w:rsidR="001E6537" w:rsidRPr="00F61431">
              <w:rPr>
                <w:rFonts w:ascii="Arial" w:hAnsi="Arial" w:cs="Arial"/>
                <w:sz w:val="15"/>
                <w:szCs w:val="15"/>
              </w:rPr>
              <w:t xml:space="preserve">a clear </w:t>
            </w:r>
            <w:r w:rsidRPr="00F61431">
              <w:rPr>
                <w:rFonts w:ascii="Arial" w:hAnsi="Arial" w:cs="Arial"/>
                <w:sz w:val="15"/>
                <w:szCs w:val="15"/>
              </w:rPr>
              <w:t xml:space="preserve">overriding public interest against disclosure or </w:t>
            </w:r>
            <w:r w:rsidR="001E6537" w:rsidRPr="00F61431">
              <w:rPr>
                <w:rFonts w:ascii="Arial" w:hAnsi="Arial" w:cs="Arial"/>
                <w:sz w:val="15"/>
                <w:szCs w:val="15"/>
              </w:rPr>
              <w:t>release</w:t>
            </w:r>
            <w:r w:rsidRPr="00F61431">
              <w:rPr>
                <w:rFonts w:ascii="Arial" w:hAnsi="Arial" w:cs="Arial"/>
                <w:sz w:val="15"/>
                <w:szCs w:val="15"/>
              </w:rPr>
              <w:t xml:space="preserve"> being provided at unreasonable cost to those access</w:t>
            </w:r>
            <w:r w:rsidR="001E6537" w:rsidRPr="00F61431">
              <w:rPr>
                <w:rFonts w:ascii="Arial" w:hAnsi="Arial" w:cs="Arial"/>
                <w:sz w:val="15"/>
                <w:szCs w:val="15"/>
              </w:rPr>
              <w:t>ing the information</w:t>
            </w:r>
            <w:r w:rsidRPr="00F61431">
              <w:rPr>
                <w:rFonts w:ascii="Arial" w:hAnsi="Arial" w:cs="Arial"/>
                <w:sz w:val="15"/>
                <w:szCs w:val="15"/>
              </w:rPr>
              <w:t xml:space="preserve">. </w:t>
            </w:r>
          </w:p>
          <w:p w14:paraId="0B1E9B58" w14:textId="5A564616" w:rsidR="00741756" w:rsidRPr="00741756" w:rsidRDefault="00741756" w:rsidP="00741756">
            <w:pPr>
              <w:rPr>
                <w:rFonts w:ascii="Arial" w:hAnsi="Arial" w:cs="Arial"/>
                <w:sz w:val="15"/>
                <w:szCs w:val="15"/>
              </w:rPr>
            </w:pPr>
          </w:p>
        </w:tc>
        <w:tc>
          <w:tcPr>
            <w:tcW w:w="3574" w:type="dxa"/>
          </w:tcPr>
          <w:p w14:paraId="303A4015" w14:textId="4AD68326" w:rsidR="007E67CD" w:rsidRPr="00F61431" w:rsidRDefault="009B5E5F" w:rsidP="007E67CD">
            <w:pPr>
              <w:rPr>
                <w:rFonts w:ascii="Arial" w:hAnsi="Arial" w:cs="Arial"/>
                <w:sz w:val="15"/>
                <w:szCs w:val="15"/>
              </w:rPr>
            </w:pPr>
            <w:r w:rsidRPr="00F61431">
              <w:rPr>
                <w:rFonts w:ascii="Arial" w:hAnsi="Arial" w:cs="Arial"/>
                <w:sz w:val="15"/>
                <w:szCs w:val="15"/>
              </w:rPr>
              <w:t>Arrangements are in place to manage the pro-active release of information</w:t>
            </w:r>
            <w:r w:rsidR="001E6537" w:rsidRPr="00F61431">
              <w:rPr>
                <w:rFonts w:ascii="Arial" w:hAnsi="Arial" w:cs="Arial"/>
                <w:sz w:val="15"/>
                <w:szCs w:val="15"/>
              </w:rPr>
              <w:t xml:space="preserve"> free-of-charge or at the lowest reasonable cost</w:t>
            </w:r>
            <w:r w:rsidRPr="00F61431">
              <w:rPr>
                <w:rFonts w:ascii="Arial" w:hAnsi="Arial" w:cs="Arial"/>
                <w:sz w:val="15"/>
                <w:szCs w:val="15"/>
              </w:rPr>
              <w:t>. The organisation’s program for release is reviewed at least annually to identify information that should be made publicly available.</w:t>
            </w:r>
          </w:p>
        </w:tc>
        <w:tc>
          <w:tcPr>
            <w:tcW w:w="3574" w:type="dxa"/>
          </w:tcPr>
          <w:p w14:paraId="6DE19A7B" w14:textId="0A737756" w:rsidR="007E67CD" w:rsidRPr="00F61431" w:rsidRDefault="00F704C3" w:rsidP="007E67CD">
            <w:pPr>
              <w:rPr>
                <w:rFonts w:ascii="Arial" w:hAnsi="Arial" w:cs="Arial"/>
                <w:sz w:val="15"/>
                <w:szCs w:val="15"/>
              </w:rPr>
            </w:pPr>
            <w:r w:rsidRPr="00F61431">
              <w:rPr>
                <w:rFonts w:ascii="Arial" w:hAnsi="Arial" w:cs="Arial"/>
                <w:sz w:val="15"/>
                <w:szCs w:val="15"/>
              </w:rPr>
              <w:t>Information is systematically released publicly and made available free-of-charge or at the lowest reasonable cost. Determinations that support pro-active release are incorporated into data collection, records creation and records management processes.</w:t>
            </w:r>
          </w:p>
        </w:tc>
        <w:tc>
          <w:tcPr>
            <w:tcW w:w="3570" w:type="dxa"/>
          </w:tcPr>
          <w:p w14:paraId="02F04CBC" w14:textId="4D68F678" w:rsidR="007E67CD" w:rsidRPr="00F61431" w:rsidRDefault="00F704C3" w:rsidP="007E67CD">
            <w:pPr>
              <w:rPr>
                <w:rFonts w:ascii="Arial" w:hAnsi="Arial" w:cs="Arial"/>
                <w:sz w:val="15"/>
                <w:szCs w:val="15"/>
              </w:rPr>
            </w:pPr>
            <w:r w:rsidRPr="00F61431">
              <w:rPr>
                <w:rFonts w:ascii="Arial" w:hAnsi="Arial" w:cs="Arial"/>
                <w:sz w:val="15"/>
                <w:szCs w:val="15"/>
              </w:rPr>
              <w:t xml:space="preserve">Information is systematically released publicly and made available free-of-charge or at the lowest reasonable cost. Activities such as request and access data analytics and </w:t>
            </w:r>
            <w:r w:rsidR="007029FD" w:rsidRPr="00F61431">
              <w:rPr>
                <w:rFonts w:ascii="Arial" w:hAnsi="Arial" w:cs="Arial"/>
                <w:sz w:val="15"/>
                <w:szCs w:val="15"/>
              </w:rPr>
              <w:t xml:space="preserve">frequent </w:t>
            </w:r>
            <w:r w:rsidRPr="00F61431">
              <w:rPr>
                <w:rFonts w:ascii="Arial" w:hAnsi="Arial" w:cs="Arial"/>
                <w:sz w:val="15"/>
                <w:szCs w:val="15"/>
              </w:rPr>
              <w:t>stakeholder consultation</w:t>
            </w:r>
            <w:r w:rsidR="00CD2C11" w:rsidRPr="00F61431">
              <w:rPr>
                <w:rFonts w:ascii="Arial" w:hAnsi="Arial" w:cs="Arial"/>
                <w:sz w:val="15"/>
                <w:szCs w:val="15"/>
              </w:rPr>
              <w:t xml:space="preserve"> with information users</w:t>
            </w:r>
            <w:r w:rsidRPr="00F61431">
              <w:rPr>
                <w:rFonts w:ascii="Arial" w:hAnsi="Arial" w:cs="Arial"/>
                <w:sz w:val="15"/>
                <w:szCs w:val="15"/>
              </w:rPr>
              <w:t xml:space="preserve"> inform pro-active release priorities and goals.</w:t>
            </w:r>
            <w:r w:rsidR="00947D5E" w:rsidRPr="00F61431">
              <w:rPr>
                <w:rFonts w:ascii="Arial" w:hAnsi="Arial" w:cs="Arial"/>
                <w:sz w:val="15"/>
                <w:szCs w:val="15"/>
              </w:rPr>
              <w:t xml:space="preserve"> The types of data and the way data is collected in the organisation is informed by open data principles and how data is used when it is made publicly available.</w:t>
            </w:r>
          </w:p>
        </w:tc>
      </w:tr>
      <w:tr w:rsidR="004D64B2" w:rsidRPr="00F61431" w14:paraId="3D8BCC98" w14:textId="77777777" w:rsidTr="00716A39">
        <w:trPr>
          <w:cantSplit/>
        </w:trPr>
        <w:tc>
          <w:tcPr>
            <w:tcW w:w="1297" w:type="dxa"/>
            <w:shd w:val="clear" w:color="auto" w:fill="222A35" w:themeFill="text2" w:themeFillShade="80"/>
          </w:tcPr>
          <w:p w14:paraId="09CCC0F6" w14:textId="752BB117" w:rsidR="007E67CD" w:rsidRPr="00716A39" w:rsidRDefault="007E67CD" w:rsidP="00B71DDC">
            <w:pPr>
              <w:rPr>
                <w:rFonts w:ascii="Arial" w:hAnsi="Arial" w:cs="Arial"/>
                <w:b/>
                <w:bCs/>
                <w:color w:val="FFFFFF" w:themeColor="background1"/>
                <w:sz w:val="18"/>
                <w:szCs w:val="18"/>
              </w:rPr>
            </w:pPr>
            <w:r w:rsidRPr="00716A39">
              <w:rPr>
                <w:rFonts w:ascii="Arial" w:hAnsi="Arial" w:cs="Arial"/>
                <w:b/>
                <w:bCs/>
                <w:color w:val="FFFFFF" w:themeColor="background1"/>
                <w:sz w:val="18"/>
                <w:szCs w:val="18"/>
              </w:rPr>
              <w:lastRenderedPageBreak/>
              <w:t xml:space="preserve">Informal </w:t>
            </w:r>
            <w:r w:rsidR="0064240C" w:rsidRPr="00716A39">
              <w:rPr>
                <w:rFonts w:ascii="Arial" w:hAnsi="Arial" w:cs="Arial"/>
                <w:b/>
                <w:bCs/>
                <w:color w:val="FFFFFF" w:themeColor="background1"/>
                <w:sz w:val="18"/>
                <w:szCs w:val="18"/>
              </w:rPr>
              <w:t>R</w:t>
            </w:r>
            <w:r w:rsidRPr="00716A39">
              <w:rPr>
                <w:rFonts w:ascii="Arial" w:hAnsi="Arial" w:cs="Arial"/>
                <w:b/>
                <w:bCs/>
                <w:color w:val="FFFFFF" w:themeColor="background1"/>
                <w:sz w:val="18"/>
                <w:szCs w:val="18"/>
              </w:rPr>
              <w:t>elease</w:t>
            </w:r>
          </w:p>
        </w:tc>
        <w:tc>
          <w:tcPr>
            <w:tcW w:w="3573" w:type="dxa"/>
          </w:tcPr>
          <w:p w14:paraId="0F135B90" w14:textId="5ED5D817" w:rsidR="007E67CD" w:rsidRPr="00F61431" w:rsidRDefault="00F72208" w:rsidP="007E67CD">
            <w:pPr>
              <w:rPr>
                <w:rFonts w:ascii="Arial" w:hAnsi="Arial" w:cs="Arial"/>
                <w:sz w:val="15"/>
                <w:szCs w:val="15"/>
              </w:rPr>
            </w:pPr>
            <w:r w:rsidRPr="00F61431">
              <w:rPr>
                <w:rFonts w:ascii="Arial" w:hAnsi="Arial" w:cs="Arial"/>
                <w:sz w:val="15"/>
                <w:szCs w:val="15"/>
              </w:rPr>
              <w:t xml:space="preserve">Informal requests are managed in an ad hoc or otherwise unguided manner. There is no clear approval and authorisation process. A record of informal requests is not kept. </w:t>
            </w:r>
          </w:p>
        </w:tc>
        <w:tc>
          <w:tcPr>
            <w:tcW w:w="3574" w:type="dxa"/>
          </w:tcPr>
          <w:p w14:paraId="74AC4DA5" w14:textId="29247E2F" w:rsidR="007E67CD" w:rsidRPr="00F61431" w:rsidRDefault="00905BDD" w:rsidP="007E67CD">
            <w:pPr>
              <w:rPr>
                <w:rFonts w:ascii="Arial" w:hAnsi="Arial" w:cs="Arial"/>
                <w:sz w:val="15"/>
                <w:szCs w:val="15"/>
              </w:rPr>
            </w:pPr>
            <w:r w:rsidRPr="00F61431">
              <w:rPr>
                <w:rFonts w:ascii="Arial" w:hAnsi="Arial" w:cs="Arial"/>
                <w:sz w:val="15"/>
                <w:szCs w:val="15"/>
              </w:rPr>
              <w:t xml:space="preserve">Processes are in place to manage informal requests and subsequent release authorisations. A record of informal requests is maintained to inform the future program for pro-active releases.  </w:t>
            </w:r>
          </w:p>
        </w:tc>
        <w:tc>
          <w:tcPr>
            <w:tcW w:w="3574" w:type="dxa"/>
          </w:tcPr>
          <w:p w14:paraId="525F5CD0" w14:textId="0F23646D" w:rsidR="007E67CD" w:rsidRPr="00F61431" w:rsidRDefault="009433EE" w:rsidP="007E67CD">
            <w:pPr>
              <w:rPr>
                <w:rFonts w:ascii="Arial" w:hAnsi="Arial" w:cs="Arial"/>
                <w:sz w:val="15"/>
                <w:szCs w:val="15"/>
              </w:rPr>
            </w:pPr>
            <w:r w:rsidRPr="00F61431">
              <w:rPr>
                <w:rFonts w:ascii="Arial" w:hAnsi="Arial" w:cs="Arial"/>
                <w:sz w:val="15"/>
                <w:szCs w:val="15"/>
              </w:rPr>
              <w:t xml:space="preserve">Processes </w:t>
            </w:r>
            <w:r w:rsidR="006A4810">
              <w:rPr>
                <w:rFonts w:ascii="Arial" w:hAnsi="Arial" w:cs="Arial"/>
                <w:sz w:val="15"/>
                <w:szCs w:val="15"/>
              </w:rPr>
              <w:t xml:space="preserve">are </w:t>
            </w:r>
            <w:r w:rsidRPr="00F61431">
              <w:rPr>
                <w:rFonts w:ascii="Arial" w:hAnsi="Arial" w:cs="Arial"/>
                <w:sz w:val="15"/>
                <w:szCs w:val="15"/>
              </w:rPr>
              <w:t xml:space="preserve">in place to manage informal requests </w:t>
            </w:r>
            <w:r w:rsidR="000F6F2A">
              <w:rPr>
                <w:rFonts w:ascii="Arial" w:hAnsi="Arial" w:cs="Arial"/>
                <w:sz w:val="15"/>
                <w:szCs w:val="15"/>
              </w:rPr>
              <w:t>that</w:t>
            </w:r>
            <w:r w:rsidR="00F31BE3">
              <w:rPr>
                <w:rFonts w:ascii="Arial" w:hAnsi="Arial" w:cs="Arial"/>
                <w:sz w:val="15"/>
                <w:szCs w:val="15"/>
              </w:rPr>
              <w:t xml:space="preserve"> are</w:t>
            </w:r>
            <w:r w:rsidRPr="00F61431">
              <w:rPr>
                <w:rFonts w:ascii="Arial" w:hAnsi="Arial" w:cs="Arial"/>
                <w:sz w:val="15"/>
                <w:szCs w:val="15"/>
              </w:rPr>
              <w:t xml:space="preserve"> </w:t>
            </w:r>
            <w:r w:rsidR="00AE626C">
              <w:rPr>
                <w:rFonts w:ascii="Arial" w:hAnsi="Arial" w:cs="Arial"/>
                <w:sz w:val="15"/>
                <w:szCs w:val="15"/>
              </w:rPr>
              <w:t xml:space="preserve">supported by </w:t>
            </w:r>
            <w:r w:rsidR="000F6F2A">
              <w:rPr>
                <w:rFonts w:ascii="Arial" w:hAnsi="Arial" w:cs="Arial"/>
                <w:sz w:val="15"/>
                <w:szCs w:val="15"/>
              </w:rPr>
              <w:t>d</w:t>
            </w:r>
            <w:r w:rsidR="00FE7E50">
              <w:rPr>
                <w:rFonts w:ascii="Arial" w:hAnsi="Arial" w:cs="Arial"/>
                <w:sz w:val="15"/>
                <w:szCs w:val="15"/>
              </w:rPr>
              <w:t xml:space="preserve">ocumented reason for </w:t>
            </w:r>
            <w:r w:rsidR="008E5E3A">
              <w:rPr>
                <w:rFonts w:ascii="Arial" w:hAnsi="Arial" w:cs="Arial"/>
                <w:sz w:val="15"/>
                <w:szCs w:val="15"/>
              </w:rPr>
              <w:t>decision.</w:t>
            </w:r>
            <w:r w:rsidR="00EB630A" w:rsidRPr="00F61431">
              <w:rPr>
                <w:rFonts w:ascii="Arial" w:hAnsi="Arial" w:cs="Arial"/>
                <w:sz w:val="15"/>
                <w:szCs w:val="15"/>
              </w:rPr>
              <w:t xml:space="preserve"> </w:t>
            </w:r>
            <w:r w:rsidR="00B12A24" w:rsidRPr="00F61431">
              <w:rPr>
                <w:rFonts w:ascii="Arial" w:hAnsi="Arial" w:cs="Arial"/>
                <w:sz w:val="15"/>
                <w:szCs w:val="15"/>
              </w:rPr>
              <w:t>All o</w:t>
            </w:r>
            <w:r w:rsidR="00EB630A" w:rsidRPr="00F61431">
              <w:rPr>
                <w:rFonts w:ascii="Arial" w:hAnsi="Arial" w:cs="Arial"/>
                <w:sz w:val="15"/>
                <w:szCs w:val="15"/>
              </w:rPr>
              <w:t xml:space="preserve">rganisational </w:t>
            </w:r>
            <w:r w:rsidR="00B12A24" w:rsidRPr="00F61431">
              <w:rPr>
                <w:rFonts w:ascii="Arial" w:hAnsi="Arial" w:cs="Arial"/>
                <w:sz w:val="15"/>
                <w:szCs w:val="15"/>
              </w:rPr>
              <w:t>s</w:t>
            </w:r>
            <w:r w:rsidR="00EB630A" w:rsidRPr="00F61431">
              <w:rPr>
                <w:rFonts w:ascii="Arial" w:hAnsi="Arial" w:cs="Arial"/>
                <w:sz w:val="15"/>
                <w:szCs w:val="15"/>
              </w:rPr>
              <w:t>taff</w:t>
            </w:r>
            <w:r w:rsidR="00B12A24" w:rsidRPr="00F61431">
              <w:rPr>
                <w:rFonts w:ascii="Arial" w:hAnsi="Arial" w:cs="Arial"/>
                <w:sz w:val="15"/>
                <w:szCs w:val="15"/>
              </w:rPr>
              <w:t xml:space="preserve"> </w:t>
            </w:r>
            <w:r w:rsidR="00EB630A" w:rsidRPr="00F61431">
              <w:rPr>
                <w:rFonts w:ascii="Arial" w:hAnsi="Arial" w:cs="Arial"/>
                <w:sz w:val="15"/>
                <w:szCs w:val="15"/>
              </w:rPr>
              <w:t xml:space="preserve">have a clear understanding of </w:t>
            </w:r>
            <w:r w:rsidRPr="00F61431">
              <w:rPr>
                <w:rFonts w:ascii="Arial" w:hAnsi="Arial" w:cs="Arial"/>
                <w:sz w:val="15"/>
                <w:szCs w:val="15"/>
              </w:rPr>
              <w:t>what information can be released and what types of information require a formal application.</w:t>
            </w:r>
          </w:p>
        </w:tc>
        <w:tc>
          <w:tcPr>
            <w:tcW w:w="3570" w:type="dxa"/>
          </w:tcPr>
          <w:p w14:paraId="2F7884CF" w14:textId="3B6FC89A" w:rsidR="00D36160" w:rsidRPr="00F61431" w:rsidRDefault="00477725" w:rsidP="007E67CD">
            <w:pPr>
              <w:rPr>
                <w:rFonts w:ascii="Arial" w:hAnsi="Arial" w:cs="Arial"/>
                <w:sz w:val="15"/>
                <w:szCs w:val="15"/>
              </w:rPr>
            </w:pPr>
            <w:r w:rsidRPr="00F61431">
              <w:rPr>
                <w:rFonts w:ascii="Arial" w:hAnsi="Arial" w:cs="Arial"/>
                <w:sz w:val="15"/>
                <w:szCs w:val="15"/>
              </w:rPr>
              <w:t>In</w:t>
            </w:r>
            <w:r w:rsidR="00C03422" w:rsidRPr="00F61431">
              <w:rPr>
                <w:rFonts w:ascii="Arial" w:hAnsi="Arial" w:cs="Arial"/>
                <w:sz w:val="15"/>
                <w:szCs w:val="15"/>
              </w:rPr>
              <w:t>formal in</w:t>
            </w:r>
            <w:r w:rsidRPr="00F61431">
              <w:rPr>
                <w:rFonts w:ascii="Arial" w:hAnsi="Arial" w:cs="Arial"/>
                <w:sz w:val="15"/>
                <w:szCs w:val="15"/>
              </w:rPr>
              <w:t xml:space="preserve">formation release requests </w:t>
            </w:r>
            <w:r w:rsidR="00C03422" w:rsidRPr="00F61431">
              <w:rPr>
                <w:rFonts w:ascii="Arial" w:hAnsi="Arial" w:cs="Arial"/>
                <w:sz w:val="15"/>
                <w:szCs w:val="15"/>
              </w:rPr>
              <w:t xml:space="preserve">and authorisations are handled </w:t>
            </w:r>
            <w:r w:rsidR="00856C95" w:rsidRPr="00F61431">
              <w:rPr>
                <w:rFonts w:ascii="Arial" w:hAnsi="Arial" w:cs="Arial"/>
                <w:sz w:val="15"/>
                <w:szCs w:val="15"/>
              </w:rPr>
              <w:t>systematically</w:t>
            </w:r>
            <w:r w:rsidR="00C03422" w:rsidRPr="00F61431">
              <w:rPr>
                <w:rFonts w:ascii="Arial" w:hAnsi="Arial" w:cs="Arial"/>
                <w:sz w:val="15"/>
                <w:szCs w:val="15"/>
              </w:rPr>
              <w:t xml:space="preserve"> and are delegated efficiently. Broader o</w:t>
            </w:r>
            <w:r w:rsidRPr="00F61431">
              <w:rPr>
                <w:rFonts w:ascii="Arial" w:hAnsi="Arial" w:cs="Arial"/>
                <w:sz w:val="15"/>
                <w:szCs w:val="15"/>
              </w:rPr>
              <w:t xml:space="preserve">rganisational </w:t>
            </w:r>
            <w:r w:rsidR="00626837">
              <w:rPr>
                <w:rFonts w:ascii="Arial" w:hAnsi="Arial" w:cs="Arial"/>
                <w:sz w:val="15"/>
                <w:szCs w:val="15"/>
              </w:rPr>
              <w:t xml:space="preserve">practices </w:t>
            </w:r>
            <w:r w:rsidRPr="00F61431">
              <w:rPr>
                <w:rFonts w:ascii="Arial" w:hAnsi="Arial" w:cs="Arial"/>
                <w:sz w:val="15"/>
                <w:szCs w:val="15"/>
              </w:rPr>
              <w:t xml:space="preserve">are informed by </w:t>
            </w:r>
            <w:r w:rsidR="00626837">
              <w:rPr>
                <w:rFonts w:ascii="Arial" w:hAnsi="Arial" w:cs="Arial"/>
                <w:sz w:val="15"/>
                <w:szCs w:val="15"/>
              </w:rPr>
              <w:t xml:space="preserve">a regular review </w:t>
            </w:r>
            <w:r w:rsidR="008E5E3A">
              <w:rPr>
                <w:rFonts w:ascii="Arial" w:hAnsi="Arial" w:cs="Arial"/>
                <w:sz w:val="15"/>
                <w:szCs w:val="15"/>
              </w:rPr>
              <w:t>of</w:t>
            </w:r>
            <w:r w:rsidR="008E5E3A" w:rsidRPr="00F61431">
              <w:rPr>
                <w:rFonts w:ascii="Arial" w:hAnsi="Arial" w:cs="Arial"/>
                <w:sz w:val="15"/>
                <w:szCs w:val="15"/>
              </w:rPr>
              <w:t xml:space="preserve"> informal</w:t>
            </w:r>
            <w:r w:rsidRPr="00F61431">
              <w:rPr>
                <w:rFonts w:ascii="Arial" w:hAnsi="Arial" w:cs="Arial"/>
                <w:sz w:val="15"/>
                <w:szCs w:val="15"/>
              </w:rPr>
              <w:t xml:space="preserve"> release request</w:t>
            </w:r>
            <w:r w:rsidR="00856C95" w:rsidRPr="00F61431">
              <w:rPr>
                <w:rFonts w:ascii="Arial" w:hAnsi="Arial" w:cs="Arial"/>
                <w:sz w:val="15"/>
                <w:szCs w:val="15"/>
              </w:rPr>
              <w:t xml:space="preserve"> data</w:t>
            </w:r>
            <w:r w:rsidR="00C03422" w:rsidRPr="00F61431">
              <w:rPr>
                <w:rFonts w:ascii="Arial" w:hAnsi="Arial" w:cs="Arial"/>
                <w:sz w:val="15"/>
                <w:szCs w:val="15"/>
              </w:rPr>
              <w:t xml:space="preserve">, </w:t>
            </w:r>
            <w:r w:rsidR="003E6CC3">
              <w:rPr>
                <w:rFonts w:ascii="Arial" w:hAnsi="Arial" w:cs="Arial"/>
                <w:sz w:val="15"/>
                <w:szCs w:val="15"/>
              </w:rPr>
              <w:t>resulting in</w:t>
            </w:r>
            <w:r w:rsidR="00C03422" w:rsidRPr="00F61431">
              <w:rPr>
                <w:rFonts w:ascii="Arial" w:hAnsi="Arial" w:cs="Arial"/>
                <w:sz w:val="15"/>
                <w:szCs w:val="15"/>
              </w:rPr>
              <w:t xml:space="preserve"> the identification of pro-</w:t>
            </w:r>
            <w:r w:rsidR="008E5E3A" w:rsidRPr="00F61431">
              <w:rPr>
                <w:rFonts w:ascii="Arial" w:hAnsi="Arial" w:cs="Arial"/>
                <w:sz w:val="15"/>
                <w:szCs w:val="15"/>
              </w:rPr>
              <w:t>active release</w:t>
            </w:r>
            <w:r w:rsidR="00C03422" w:rsidRPr="00F61431">
              <w:rPr>
                <w:rFonts w:ascii="Arial" w:hAnsi="Arial" w:cs="Arial"/>
                <w:sz w:val="15"/>
                <w:szCs w:val="15"/>
              </w:rPr>
              <w:t xml:space="preserve">. </w:t>
            </w:r>
          </w:p>
        </w:tc>
      </w:tr>
      <w:tr w:rsidR="004D64B2" w:rsidRPr="00F61431" w14:paraId="688F5AA9" w14:textId="77777777" w:rsidTr="00716A39">
        <w:trPr>
          <w:cantSplit/>
        </w:trPr>
        <w:tc>
          <w:tcPr>
            <w:tcW w:w="1297" w:type="dxa"/>
            <w:shd w:val="clear" w:color="auto" w:fill="222A35" w:themeFill="text2" w:themeFillShade="80"/>
          </w:tcPr>
          <w:p w14:paraId="1DFF3A20" w14:textId="77777777" w:rsidR="007E67CD" w:rsidRPr="00716A39" w:rsidRDefault="007E67CD" w:rsidP="00B71DDC">
            <w:pPr>
              <w:rPr>
                <w:rFonts w:ascii="Arial" w:hAnsi="Arial" w:cs="Arial"/>
                <w:b/>
                <w:bCs/>
                <w:color w:val="FFFFFF" w:themeColor="background1"/>
                <w:sz w:val="18"/>
                <w:szCs w:val="18"/>
              </w:rPr>
            </w:pPr>
            <w:r w:rsidRPr="00716A39">
              <w:rPr>
                <w:rFonts w:ascii="Arial" w:hAnsi="Arial" w:cs="Arial"/>
                <w:b/>
                <w:bCs/>
                <w:color w:val="FFFFFF" w:themeColor="background1"/>
                <w:sz w:val="18"/>
                <w:szCs w:val="18"/>
              </w:rPr>
              <w:t xml:space="preserve">Formal </w:t>
            </w:r>
            <w:r w:rsidR="0064240C" w:rsidRPr="00716A39">
              <w:rPr>
                <w:rFonts w:ascii="Arial" w:hAnsi="Arial" w:cs="Arial"/>
                <w:b/>
                <w:bCs/>
                <w:color w:val="FFFFFF" w:themeColor="background1"/>
                <w:sz w:val="18"/>
                <w:szCs w:val="18"/>
              </w:rPr>
              <w:t>A</w:t>
            </w:r>
            <w:r w:rsidRPr="00716A39">
              <w:rPr>
                <w:rFonts w:ascii="Arial" w:hAnsi="Arial" w:cs="Arial"/>
                <w:b/>
                <w:bCs/>
                <w:color w:val="FFFFFF" w:themeColor="background1"/>
                <w:sz w:val="18"/>
                <w:szCs w:val="18"/>
              </w:rPr>
              <w:t xml:space="preserve">ccess </w:t>
            </w:r>
            <w:r w:rsidR="0064240C" w:rsidRPr="00716A39">
              <w:rPr>
                <w:rFonts w:ascii="Arial" w:hAnsi="Arial" w:cs="Arial"/>
                <w:b/>
                <w:bCs/>
                <w:color w:val="FFFFFF" w:themeColor="background1"/>
                <w:sz w:val="18"/>
                <w:szCs w:val="18"/>
              </w:rPr>
              <w:t>A</w:t>
            </w:r>
            <w:r w:rsidRPr="00716A39">
              <w:rPr>
                <w:rFonts w:ascii="Arial" w:hAnsi="Arial" w:cs="Arial"/>
                <w:b/>
                <w:bCs/>
                <w:color w:val="FFFFFF" w:themeColor="background1"/>
                <w:sz w:val="18"/>
                <w:szCs w:val="18"/>
              </w:rPr>
              <w:t>pplications</w:t>
            </w:r>
          </w:p>
          <w:p w14:paraId="7ADD1C3E" w14:textId="04C42343" w:rsidR="00E0191C" w:rsidRPr="00716A39" w:rsidRDefault="00BD05DE" w:rsidP="00B71DDC">
            <w:pPr>
              <w:rPr>
                <w:rFonts w:ascii="Arial" w:hAnsi="Arial" w:cs="Arial"/>
                <w:b/>
                <w:bCs/>
                <w:color w:val="FFFFFF" w:themeColor="background1"/>
                <w:sz w:val="18"/>
                <w:szCs w:val="18"/>
              </w:rPr>
            </w:pPr>
            <w:r w:rsidRPr="00716A39">
              <w:rPr>
                <w:rFonts w:ascii="Arial" w:hAnsi="Arial" w:cs="Arial"/>
                <w:b/>
                <w:bCs/>
                <w:color w:val="FFFFFF" w:themeColor="background1"/>
                <w:sz w:val="18"/>
                <w:szCs w:val="18"/>
              </w:rPr>
              <w:t>Part 4, Division 4</w:t>
            </w:r>
          </w:p>
        </w:tc>
        <w:tc>
          <w:tcPr>
            <w:tcW w:w="3573" w:type="dxa"/>
          </w:tcPr>
          <w:p w14:paraId="0F9169D7" w14:textId="2C6349DD" w:rsidR="007E67CD" w:rsidRPr="00F61431" w:rsidRDefault="00D65745" w:rsidP="007E67CD">
            <w:pPr>
              <w:rPr>
                <w:rFonts w:ascii="Arial" w:hAnsi="Arial" w:cs="Arial"/>
                <w:sz w:val="15"/>
                <w:szCs w:val="15"/>
              </w:rPr>
            </w:pPr>
            <w:r w:rsidRPr="00F61431">
              <w:rPr>
                <w:rFonts w:ascii="Arial" w:hAnsi="Arial" w:cs="Arial"/>
                <w:sz w:val="15"/>
                <w:szCs w:val="15"/>
              </w:rPr>
              <w:t xml:space="preserve">Right to information officers are not assigned. Formal requests for information access are responded to in an ad hoc or otherwise non-compliant manner. </w:t>
            </w:r>
            <w:r w:rsidR="00157B23">
              <w:rPr>
                <w:rFonts w:ascii="Arial" w:hAnsi="Arial" w:cs="Arial"/>
                <w:sz w:val="15"/>
                <w:szCs w:val="15"/>
              </w:rPr>
              <w:t xml:space="preserve">There are no </w:t>
            </w:r>
            <w:r w:rsidR="00A815F9">
              <w:rPr>
                <w:rFonts w:ascii="Arial" w:hAnsi="Arial" w:cs="Arial"/>
                <w:sz w:val="15"/>
                <w:szCs w:val="15"/>
              </w:rPr>
              <w:t>documented</w:t>
            </w:r>
            <w:r w:rsidR="00157B23">
              <w:rPr>
                <w:rFonts w:ascii="Arial" w:hAnsi="Arial" w:cs="Arial"/>
                <w:sz w:val="15"/>
                <w:szCs w:val="15"/>
              </w:rPr>
              <w:t xml:space="preserve"> processes or procedures </w:t>
            </w:r>
            <w:r w:rsidR="008D7A08">
              <w:rPr>
                <w:rFonts w:ascii="Arial" w:hAnsi="Arial" w:cs="Arial"/>
                <w:sz w:val="15"/>
                <w:szCs w:val="15"/>
              </w:rPr>
              <w:t>to</w:t>
            </w:r>
            <w:r w:rsidRPr="00F61431">
              <w:rPr>
                <w:rFonts w:ascii="Arial" w:hAnsi="Arial" w:cs="Arial"/>
                <w:sz w:val="15"/>
                <w:szCs w:val="15"/>
              </w:rPr>
              <w:t xml:space="preserve"> allow for the searching and retrieval of </w:t>
            </w:r>
            <w:r w:rsidR="008D7A08">
              <w:rPr>
                <w:rFonts w:ascii="Arial" w:hAnsi="Arial" w:cs="Arial"/>
                <w:sz w:val="15"/>
                <w:szCs w:val="15"/>
              </w:rPr>
              <w:t>information</w:t>
            </w:r>
            <w:r w:rsidR="008D7A08" w:rsidRPr="00F61431">
              <w:rPr>
                <w:rFonts w:ascii="Arial" w:hAnsi="Arial" w:cs="Arial"/>
                <w:sz w:val="15"/>
                <w:szCs w:val="15"/>
              </w:rPr>
              <w:t xml:space="preserve"> </w:t>
            </w:r>
            <w:r w:rsidR="008D7A08">
              <w:rPr>
                <w:rFonts w:ascii="Arial" w:hAnsi="Arial" w:cs="Arial"/>
                <w:sz w:val="15"/>
                <w:szCs w:val="15"/>
              </w:rPr>
              <w:t>sought</w:t>
            </w:r>
            <w:r w:rsidR="008D7A08" w:rsidRPr="00F61431">
              <w:rPr>
                <w:rFonts w:ascii="Arial" w:hAnsi="Arial" w:cs="Arial"/>
                <w:sz w:val="15"/>
                <w:szCs w:val="15"/>
              </w:rPr>
              <w:t xml:space="preserve"> </w:t>
            </w:r>
            <w:r w:rsidRPr="00F61431">
              <w:rPr>
                <w:rFonts w:ascii="Arial" w:hAnsi="Arial" w:cs="Arial"/>
                <w:sz w:val="15"/>
                <w:szCs w:val="15"/>
              </w:rPr>
              <w:t xml:space="preserve">in </w:t>
            </w:r>
            <w:r w:rsidR="000543E0">
              <w:rPr>
                <w:rFonts w:ascii="Arial" w:hAnsi="Arial" w:cs="Arial"/>
                <w:sz w:val="15"/>
                <w:szCs w:val="15"/>
              </w:rPr>
              <w:t>access applications</w:t>
            </w:r>
            <w:r w:rsidRPr="00F61431">
              <w:rPr>
                <w:rFonts w:ascii="Arial" w:hAnsi="Arial" w:cs="Arial"/>
                <w:sz w:val="15"/>
                <w:szCs w:val="15"/>
              </w:rPr>
              <w:t>. Data on finalisation timing is not collected or of low quality. No structured internal review processes are in place for when applicants are not satisfied with the information release decisions.</w:t>
            </w:r>
          </w:p>
        </w:tc>
        <w:tc>
          <w:tcPr>
            <w:tcW w:w="3574" w:type="dxa"/>
          </w:tcPr>
          <w:p w14:paraId="5896258F" w14:textId="577C8275" w:rsidR="007E67CD" w:rsidRPr="00F61431" w:rsidRDefault="002D24CB" w:rsidP="007E67CD">
            <w:pPr>
              <w:rPr>
                <w:rFonts w:ascii="Arial" w:hAnsi="Arial" w:cs="Arial"/>
                <w:sz w:val="15"/>
                <w:szCs w:val="15"/>
              </w:rPr>
            </w:pPr>
            <w:r w:rsidRPr="00F61431">
              <w:rPr>
                <w:rFonts w:ascii="Arial" w:hAnsi="Arial" w:cs="Arial"/>
                <w:sz w:val="15"/>
                <w:szCs w:val="15"/>
              </w:rPr>
              <w:t xml:space="preserve">Right to information officers follow </w:t>
            </w:r>
            <w:r w:rsidR="00D65745" w:rsidRPr="00F61431">
              <w:rPr>
                <w:rFonts w:ascii="Arial" w:hAnsi="Arial" w:cs="Arial"/>
                <w:sz w:val="15"/>
                <w:szCs w:val="15"/>
              </w:rPr>
              <w:t xml:space="preserve">structured </w:t>
            </w:r>
            <w:r w:rsidRPr="00F61431">
              <w:rPr>
                <w:rFonts w:ascii="Arial" w:hAnsi="Arial" w:cs="Arial"/>
                <w:sz w:val="15"/>
                <w:szCs w:val="15"/>
              </w:rPr>
              <w:t xml:space="preserve">processes to manage and determine formal access requests and provide assistance to applicants. </w:t>
            </w:r>
            <w:r w:rsidR="008D7A08">
              <w:rPr>
                <w:rFonts w:ascii="Arial" w:hAnsi="Arial" w:cs="Arial"/>
                <w:sz w:val="15"/>
                <w:szCs w:val="15"/>
              </w:rPr>
              <w:t xml:space="preserve">There are </w:t>
            </w:r>
            <w:r w:rsidR="00A815F9">
              <w:rPr>
                <w:rFonts w:ascii="Arial" w:hAnsi="Arial" w:cs="Arial"/>
                <w:sz w:val="15"/>
                <w:szCs w:val="15"/>
              </w:rPr>
              <w:t>documented</w:t>
            </w:r>
            <w:r w:rsidR="00F321FF">
              <w:rPr>
                <w:rFonts w:ascii="Arial" w:hAnsi="Arial" w:cs="Arial"/>
                <w:sz w:val="15"/>
                <w:szCs w:val="15"/>
              </w:rPr>
              <w:t xml:space="preserve"> processes and procedures to </w:t>
            </w:r>
            <w:r w:rsidRPr="00F61431">
              <w:rPr>
                <w:rFonts w:ascii="Arial" w:hAnsi="Arial" w:cs="Arial"/>
                <w:sz w:val="15"/>
                <w:szCs w:val="15"/>
              </w:rPr>
              <w:t xml:space="preserve">allow for searches and retrieval of information </w:t>
            </w:r>
            <w:r w:rsidR="000543E0">
              <w:rPr>
                <w:rFonts w:ascii="Arial" w:hAnsi="Arial" w:cs="Arial"/>
                <w:sz w:val="15"/>
                <w:szCs w:val="15"/>
              </w:rPr>
              <w:t>sought</w:t>
            </w:r>
            <w:r w:rsidRPr="00F61431">
              <w:rPr>
                <w:rFonts w:ascii="Arial" w:hAnsi="Arial" w:cs="Arial"/>
                <w:sz w:val="15"/>
                <w:szCs w:val="15"/>
              </w:rPr>
              <w:t xml:space="preserve"> in the </w:t>
            </w:r>
            <w:r w:rsidR="000543E0">
              <w:rPr>
                <w:rFonts w:ascii="Arial" w:hAnsi="Arial" w:cs="Arial"/>
                <w:sz w:val="15"/>
                <w:szCs w:val="15"/>
              </w:rPr>
              <w:t>access</w:t>
            </w:r>
            <w:r w:rsidRPr="00F61431">
              <w:rPr>
                <w:rFonts w:ascii="Arial" w:hAnsi="Arial" w:cs="Arial"/>
                <w:sz w:val="15"/>
                <w:szCs w:val="15"/>
              </w:rPr>
              <w:t xml:space="preserve"> application</w:t>
            </w:r>
            <w:r w:rsidR="000543E0">
              <w:rPr>
                <w:rFonts w:ascii="Arial" w:hAnsi="Arial" w:cs="Arial"/>
                <w:sz w:val="15"/>
                <w:szCs w:val="15"/>
              </w:rPr>
              <w:t>s</w:t>
            </w:r>
            <w:r w:rsidRPr="00F61431">
              <w:rPr>
                <w:rFonts w:ascii="Arial" w:hAnsi="Arial" w:cs="Arial"/>
                <w:sz w:val="15"/>
                <w:szCs w:val="15"/>
              </w:rPr>
              <w:t xml:space="preserve">. Finalisation timing of requests is actively </w:t>
            </w:r>
            <w:r w:rsidR="00AD56CF" w:rsidRPr="00F61431">
              <w:rPr>
                <w:rFonts w:ascii="Arial" w:hAnsi="Arial" w:cs="Arial"/>
                <w:sz w:val="15"/>
                <w:szCs w:val="15"/>
              </w:rPr>
              <w:t>monitored,</w:t>
            </w:r>
            <w:r w:rsidRPr="00F61431">
              <w:rPr>
                <w:rFonts w:ascii="Arial" w:hAnsi="Arial" w:cs="Arial"/>
                <w:sz w:val="15"/>
                <w:szCs w:val="15"/>
              </w:rPr>
              <w:t xml:space="preserve"> and internal review processes are in place for when </w:t>
            </w:r>
            <w:r w:rsidR="00D65745" w:rsidRPr="00F61431">
              <w:rPr>
                <w:rFonts w:ascii="Arial" w:hAnsi="Arial" w:cs="Arial"/>
                <w:sz w:val="15"/>
                <w:szCs w:val="15"/>
              </w:rPr>
              <w:t xml:space="preserve">applicants </w:t>
            </w:r>
            <w:r w:rsidRPr="00F61431">
              <w:rPr>
                <w:rFonts w:ascii="Arial" w:hAnsi="Arial" w:cs="Arial"/>
                <w:sz w:val="15"/>
                <w:szCs w:val="15"/>
              </w:rPr>
              <w:t xml:space="preserve">are not satisfied with the information release decisions. </w:t>
            </w:r>
          </w:p>
        </w:tc>
        <w:tc>
          <w:tcPr>
            <w:tcW w:w="3574" w:type="dxa"/>
          </w:tcPr>
          <w:p w14:paraId="13146440" w14:textId="307A4CCC" w:rsidR="007E67CD" w:rsidRPr="00F61431" w:rsidRDefault="00F344F4" w:rsidP="007E67CD">
            <w:pPr>
              <w:rPr>
                <w:rFonts w:ascii="Arial" w:hAnsi="Arial" w:cs="Arial"/>
                <w:sz w:val="15"/>
                <w:szCs w:val="15"/>
              </w:rPr>
            </w:pPr>
            <w:r>
              <w:rPr>
                <w:rFonts w:ascii="Arial" w:hAnsi="Arial" w:cs="Arial"/>
                <w:sz w:val="15"/>
                <w:szCs w:val="15"/>
              </w:rPr>
              <w:t xml:space="preserve">The management of formal access requests is an acknowledged and documented component in wider organisational data management and governance policy. </w:t>
            </w:r>
            <w:r w:rsidR="00AD56CF" w:rsidRPr="00F61431">
              <w:rPr>
                <w:rFonts w:ascii="Arial" w:hAnsi="Arial" w:cs="Arial"/>
                <w:sz w:val="15"/>
                <w:szCs w:val="15"/>
              </w:rPr>
              <w:t xml:space="preserve">Right to information officers follow </w:t>
            </w:r>
            <w:r w:rsidR="005418A1">
              <w:rPr>
                <w:rFonts w:ascii="Arial" w:hAnsi="Arial" w:cs="Arial"/>
                <w:sz w:val="15"/>
                <w:szCs w:val="15"/>
              </w:rPr>
              <w:t>established</w:t>
            </w:r>
            <w:r w:rsidR="005418A1" w:rsidRPr="00F61431">
              <w:rPr>
                <w:rFonts w:ascii="Arial" w:hAnsi="Arial" w:cs="Arial"/>
                <w:sz w:val="15"/>
                <w:szCs w:val="15"/>
              </w:rPr>
              <w:t xml:space="preserve"> </w:t>
            </w:r>
            <w:r w:rsidR="005418A1">
              <w:rPr>
                <w:rFonts w:ascii="Arial" w:hAnsi="Arial" w:cs="Arial"/>
                <w:sz w:val="15"/>
                <w:szCs w:val="15"/>
              </w:rPr>
              <w:t xml:space="preserve">policy and </w:t>
            </w:r>
            <w:r w:rsidR="00AD56CF" w:rsidRPr="00F61431">
              <w:rPr>
                <w:rFonts w:ascii="Arial" w:hAnsi="Arial" w:cs="Arial"/>
                <w:sz w:val="15"/>
                <w:szCs w:val="15"/>
              </w:rPr>
              <w:t xml:space="preserve">processes built around decision </w:t>
            </w:r>
            <w:r w:rsidR="00A11B48">
              <w:rPr>
                <w:rFonts w:ascii="Arial" w:hAnsi="Arial" w:cs="Arial"/>
                <w:sz w:val="15"/>
                <w:szCs w:val="15"/>
              </w:rPr>
              <w:t>making</w:t>
            </w:r>
            <w:r w:rsidR="00A11B48" w:rsidRPr="00F61431">
              <w:rPr>
                <w:rFonts w:ascii="Arial" w:hAnsi="Arial" w:cs="Arial"/>
                <w:sz w:val="15"/>
                <w:szCs w:val="15"/>
              </w:rPr>
              <w:t xml:space="preserve"> </w:t>
            </w:r>
            <w:r w:rsidR="00AD56CF" w:rsidRPr="00F61431">
              <w:rPr>
                <w:rFonts w:ascii="Arial" w:hAnsi="Arial" w:cs="Arial"/>
                <w:sz w:val="15"/>
                <w:szCs w:val="15"/>
              </w:rPr>
              <w:t>to ensure consistency in the management of formal access requests, including considerations about the waiving or reductions of fees or other charges, or the making of allowable decisions.</w:t>
            </w:r>
            <w:r w:rsidR="006402AA" w:rsidRPr="00F61431">
              <w:rPr>
                <w:rFonts w:ascii="Arial" w:hAnsi="Arial" w:cs="Arial"/>
                <w:sz w:val="15"/>
                <w:szCs w:val="15"/>
              </w:rPr>
              <w:t xml:space="preserve"> The monitoring and auditing of formal access requests processing forms part of organisational performance management. </w:t>
            </w:r>
          </w:p>
        </w:tc>
        <w:tc>
          <w:tcPr>
            <w:tcW w:w="3570" w:type="dxa"/>
          </w:tcPr>
          <w:p w14:paraId="1056AF4A" w14:textId="25AC6167" w:rsidR="007E67CD" w:rsidRPr="00F61431" w:rsidRDefault="006402AA" w:rsidP="007E67CD">
            <w:pPr>
              <w:rPr>
                <w:rFonts w:ascii="Arial" w:hAnsi="Arial" w:cs="Arial"/>
                <w:sz w:val="15"/>
                <w:szCs w:val="15"/>
              </w:rPr>
            </w:pPr>
            <w:r w:rsidRPr="00F61431">
              <w:rPr>
                <w:rFonts w:ascii="Arial" w:hAnsi="Arial" w:cs="Arial"/>
                <w:sz w:val="15"/>
                <w:szCs w:val="15"/>
              </w:rPr>
              <w:t>Applicants can easily lodge formal requests with the organisation through a website or other digital interface, including the collection of any fees and charges. Applicants can view the status of their requests and provide feedback on the process and their experience. Insights from formal request data inform data management processes such as the identification and notification of priority pro-active data releases, as well as the types and formats of data collected by the organisation</w:t>
            </w:r>
            <w:r w:rsidR="00CC3748" w:rsidRPr="00F61431">
              <w:rPr>
                <w:rFonts w:ascii="Arial" w:hAnsi="Arial" w:cs="Arial"/>
                <w:sz w:val="15"/>
                <w:szCs w:val="15"/>
              </w:rPr>
              <w:t xml:space="preserve"> to improve public access to and use of organisational data. </w:t>
            </w:r>
          </w:p>
        </w:tc>
      </w:tr>
      <w:tr w:rsidR="004D64B2" w:rsidRPr="00F61431" w14:paraId="1F4B0FB3" w14:textId="77777777" w:rsidTr="00716A39">
        <w:trPr>
          <w:cantSplit/>
        </w:trPr>
        <w:tc>
          <w:tcPr>
            <w:tcW w:w="1297" w:type="dxa"/>
            <w:shd w:val="clear" w:color="auto" w:fill="222A35" w:themeFill="text2" w:themeFillShade="80"/>
          </w:tcPr>
          <w:p w14:paraId="5CE18B74" w14:textId="77777777" w:rsidR="007E67CD" w:rsidRPr="00716A39" w:rsidRDefault="007E67CD" w:rsidP="00B71DDC">
            <w:pPr>
              <w:rPr>
                <w:rFonts w:ascii="Arial" w:hAnsi="Arial" w:cs="Arial"/>
                <w:b/>
                <w:bCs/>
                <w:color w:val="FFFFFF" w:themeColor="background1"/>
                <w:sz w:val="18"/>
                <w:szCs w:val="18"/>
              </w:rPr>
            </w:pPr>
            <w:r w:rsidRPr="00716A39">
              <w:rPr>
                <w:rFonts w:ascii="Arial" w:hAnsi="Arial" w:cs="Arial"/>
                <w:b/>
                <w:bCs/>
                <w:color w:val="FFFFFF" w:themeColor="background1"/>
                <w:sz w:val="18"/>
                <w:szCs w:val="18"/>
              </w:rPr>
              <w:t>Disclosure Logs</w:t>
            </w:r>
          </w:p>
          <w:p w14:paraId="074DE8BA" w14:textId="6258C775" w:rsidR="00B80487" w:rsidRPr="00716A39" w:rsidRDefault="00B80487" w:rsidP="00B71DDC">
            <w:pPr>
              <w:rPr>
                <w:rFonts w:ascii="Arial" w:hAnsi="Arial" w:cs="Arial"/>
                <w:b/>
                <w:bCs/>
                <w:color w:val="FFFFFF" w:themeColor="background1"/>
                <w:sz w:val="18"/>
                <w:szCs w:val="18"/>
              </w:rPr>
            </w:pPr>
            <w:r w:rsidRPr="00716A39">
              <w:rPr>
                <w:rFonts w:ascii="Arial" w:hAnsi="Arial" w:cs="Arial"/>
                <w:b/>
                <w:bCs/>
                <w:color w:val="FFFFFF" w:themeColor="background1"/>
                <w:sz w:val="18"/>
                <w:szCs w:val="18"/>
              </w:rPr>
              <w:t>Part 3, Division</w:t>
            </w:r>
            <w:r w:rsidR="00683354" w:rsidRPr="00716A39">
              <w:rPr>
                <w:rFonts w:ascii="Arial" w:hAnsi="Arial" w:cs="Arial"/>
                <w:b/>
                <w:bCs/>
                <w:color w:val="FFFFFF" w:themeColor="background1"/>
                <w:sz w:val="18"/>
                <w:szCs w:val="18"/>
              </w:rPr>
              <w:t>s</w:t>
            </w:r>
            <w:r w:rsidRPr="00716A39">
              <w:rPr>
                <w:rFonts w:ascii="Arial" w:hAnsi="Arial" w:cs="Arial"/>
                <w:b/>
                <w:bCs/>
                <w:color w:val="FFFFFF" w:themeColor="background1"/>
                <w:sz w:val="18"/>
                <w:szCs w:val="18"/>
              </w:rPr>
              <w:t xml:space="preserve"> </w:t>
            </w:r>
            <w:r w:rsidR="003D22A2" w:rsidRPr="00716A39">
              <w:rPr>
                <w:rFonts w:ascii="Arial" w:hAnsi="Arial" w:cs="Arial"/>
                <w:b/>
                <w:bCs/>
                <w:color w:val="FFFFFF" w:themeColor="background1"/>
                <w:sz w:val="18"/>
                <w:szCs w:val="18"/>
              </w:rPr>
              <w:t>4 and 5</w:t>
            </w:r>
          </w:p>
        </w:tc>
        <w:tc>
          <w:tcPr>
            <w:tcW w:w="3573" w:type="dxa"/>
          </w:tcPr>
          <w:p w14:paraId="52E5CA90" w14:textId="6BF2E16C" w:rsidR="007E67CD" w:rsidRPr="00F61431" w:rsidRDefault="004D64B2" w:rsidP="007E67CD">
            <w:pPr>
              <w:rPr>
                <w:rFonts w:ascii="Arial" w:hAnsi="Arial" w:cs="Arial"/>
                <w:sz w:val="15"/>
                <w:szCs w:val="15"/>
              </w:rPr>
            </w:pPr>
            <w:r w:rsidRPr="00F61431">
              <w:rPr>
                <w:rFonts w:ascii="Arial" w:hAnsi="Arial" w:cs="Arial"/>
                <w:sz w:val="15"/>
                <w:szCs w:val="15"/>
              </w:rPr>
              <w:t>A disclosure log is not kept</w:t>
            </w:r>
            <w:r w:rsidR="001D01F9" w:rsidRPr="00F61431">
              <w:rPr>
                <w:rFonts w:ascii="Arial" w:hAnsi="Arial" w:cs="Arial"/>
                <w:sz w:val="15"/>
                <w:szCs w:val="15"/>
              </w:rPr>
              <w:t>.</w:t>
            </w:r>
          </w:p>
        </w:tc>
        <w:tc>
          <w:tcPr>
            <w:tcW w:w="3574" w:type="dxa"/>
          </w:tcPr>
          <w:p w14:paraId="5498C97B" w14:textId="24C2763E" w:rsidR="007E67CD" w:rsidRPr="00F61431" w:rsidRDefault="0073249A" w:rsidP="007E67CD">
            <w:pPr>
              <w:rPr>
                <w:rFonts w:ascii="Arial" w:hAnsi="Arial" w:cs="Arial"/>
                <w:sz w:val="15"/>
                <w:szCs w:val="15"/>
              </w:rPr>
            </w:pPr>
            <w:r w:rsidRPr="00F61431">
              <w:rPr>
                <w:rFonts w:ascii="Arial" w:hAnsi="Arial" w:cs="Arial"/>
                <w:sz w:val="15"/>
                <w:szCs w:val="15"/>
              </w:rPr>
              <w:t xml:space="preserve">The disclosure log is </w:t>
            </w:r>
            <w:r w:rsidR="00D676A1">
              <w:rPr>
                <w:rFonts w:ascii="Arial" w:hAnsi="Arial" w:cs="Arial"/>
                <w:sz w:val="15"/>
                <w:szCs w:val="15"/>
              </w:rPr>
              <w:t xml:space="preserve">kept but </w:t>
            </w:r>
            <w:r w:rsidR="00E53E31">
              <w:rPr>
                <w:rFonts w:ascii="Arial" w:hAnsi="Arial" w:cs="Arial"/>
                <w:sz w:val="15"/>
                <w:szCs w:val="15"/>
              </w:rPr>
              <w:t xml:space="preserve">is </w:t>
            </w:r>
            <w:r w:rsidR="00D676A1" w:rsidRPr="00F61431">
              <w:rPr>
                <w:rFonts w:ascii="Arial" w:hAnsi="Arial" w:cs="Arial"/>
                <w:sz w:val="15"/>
                <w:szCs w:val="15"/>
              </w:rPr>
              <w:t>incomplete, is out-of-date</w:t>
            </w:r>
            <w:r w:rsidR="00955987">
              <w:rPr>
                <w:rFonts w:ascii="Arial" w:hAnsi="Arial" w:cs="Arial"/>
                <w:sz w:val="15"/>
                <w:szCs w:val="15"/>
              </w:rPr>
              <w:t xml:space="preserve"> or is not </w:t>
            </w:r>
            <w:r w:rsidR="00D676A1" w:rsidRPr="00F61431">
              <w:rPr>
                <w:rFonts w:ascii="Arial" w:hAnsi="Arial" w:cs="Arial"/>
                <w:sz w:val="15"/>
                <w:szCs w:val="15"/>
              </w:rPr>
              <w:t>made available free-of-charge on the organisation’s website.</w:t>
            </w:r>
            <w:r w:rsidR="003D1524" w:rsidRPr="00F61431">
              <w:rPr>
                <w:rFonts w:ascii="Arial" w:hAnsi="Arial" w:cs="Arial"/>
                <w:sz w:val="15"/>
                <w:szCs w:val="15"/>
              </w:rPr>
              <w:t xml:space="preserve"> </w:t>
            </w:r>
          </w:p>
        </w:tc>
        <w:tc>
          <w:tcPr>
            <w:tcW w:w="3574" w:type="dxa"/>
          </w:tcPr>
          <w:p w14:paraId="4D1AF63A" w14:textId="6EB6C9C2" w:rsidR="00301572" w:rsidRPr="00F61431" w:rsidRDefault="00005C47" w:rsidP="007E67CD">
            <w:pPr>
              <w:rPr>
                <w:rFonts w:ascii="Arial" w:hAnsi="Arial" w:cs="Arial"/>
                <w:sz w:val="15"/>
                <w:szCs w:val="15"/>
              </w:rPr>
            </w:pPr>
            <w:r w:rsidRPr="00F61431">
              <w:rPr>
                <w:rFonts w:ascii="Arial" w:hAnsi="Arial" w:cs="Arial"/>
                <w:sz w:val="15"/>
                <w:szCs w:val="15"/>
              </w:rPr>
              <w:t>Maintenance of the disclosure log is</w:t>
            </w:r>
            <w:r w:rsidR="004D64B2" w:rsidRPr="00F61431">
              <w:rPr>
                <w:rFonts w:ascii="Arial" w:hAnsi="Arial" w:cs="Arial"/>
                <w:sz w:val="15"/>
                <w:szCs w:val="15"/>
              </w:rPr>
              <w:t xml:space="preserve"> integrated into wider open data access processes, including ensuring that the latest disclosure log is available online. There are internal review and audit procedures in place to ensure that the information in the log is complete and accurate</w:t>
            </w:r>
            <w:r w:rsidR="00A82C8B">
              <w:rPr>
                <w:rFonts w:ascii="Arial" w:hAnsi="Arial" w:cs="Arial"/>
                <w:sz w:val="15"/>
                <w:szCs w:val="15"/>
              </w:rPr>
              <w:t xml:space="preserve"> and subject to regular review for updating</w:t>
            </w:r>
            <w:r w:rsidR="004D64B2" w:rsidRPr="00F61431">
              <w:rPr>
                <w:rFonts w:ascii="Arial" w:hAnsi="Arial" w:cs="Arial"/>
                <w:sz w:val="15"/>
                <w:szCs w:val="15"/>
              </w:rPr>
              <w:t xml:space="preserve">. </w:t>
            </w:r>
          </w:p>
        </w:tc>
        <w:tc>
          <w:tcPr>
            <w:tcW w:w="3570" w:type="dxa"/>
          </w:tcPr>
          <w:p w14:paraId="1E64E251" w14:textId="670D2048" w:rsidR="007E67CD" w:rsidRPr="00F61431" w:rsidRDefault="004D64B2" w:rsidP="007E67CD">
            <w:pPr>
              <w:rPr>
                <w:rFonts w:ascii="Arial" w:hAnsi="Arial" w:cs="Arial"/>
                <w:sz w:val="15"/>
                <w:szCs w:val="15"/>
              </w:rPr>
            </w:pPr>
            <w:r w:rsidRPr="00F61431">
              <w:rPr>
                <w:rFonts w:ascii="Arial" w:hAnsi="Arial" w:cs="Arial"/>
                <w:sz w:val="15"/>
                <w:szCs w:val="15"/>
              </w:rPr>
              <w:t xml:space="preserve">A disclosure log is used to review against wider organisational </w:t>
            </w:r>
            <w:r w:rsidR="000961CC">
              <w:rPr>
                <w:rFonts w:ascii="Arial" w:hAnsi="Arial" w:cs="Arial"/>
                <w:sz w:val="15"/>
                <w:szCs w:val="15"/>
              </w:rPr>
              <w:t>information</w:t>
            </w:r>
            <w:r w:rsidRPr="00F61431">
              <w:rPr>
                <w:rFonts w:ascii="Arial" w:hAnsi="Arial" w:cs="Arial"/>
                <w:sz w:val="15"/>
                <w:szCs w:val="15"/>
              </w:rPr>
              <w:t xml:space="preserve"> </w:t>
            </w:r>
            <w:r w:rsidR="000961CC">
              <w:rPr>
                <w:rFonts w:ascii="Arial" w:hAnsi="Arial" w:cs="Arial"/>
                <w:sz w:val="15"/>
                <w:szCs w:val="15"/>
              </w:rPr>
              <w:t>holding</w:t>
            </w:r>
            <w:r w:rsidRPr="00F61431">
              <w:rPr>
                <w:rFonts w:ascii="Arial" w:hAnsi="Arial" w:cs="Arial"/>
                <w:sz w:val="15"/>
                <w:szCs w:val="15"/>
              </w:rPr>
              <w:t xml:space="preserve"> to identify the scope of open access and inform future pro-active release.</w:t>
            </w:r>
          </w:p>
        </w:tc>
      </w:tr>
      <w:tr w:rsidR="004D64B2" w:rsidRPr="00F61431" w14:paraId="7F3EE43A" w14:textId="77777777" w:rsidTr="00716A39">
        <w:trPr>
          <w:cantSplit/>
        </w:trPr>
        <w:tc>
          <w:tcPr>
            <w:tcW w:w="1297" w:type="dxa"/>
            <w:shd w:val="clear" w:color="auto" w:fill="222A35" w:themeFill="text2" w:themeFillShade="80"/>
          </w:tcPr>
          <w:p w14:paraId="0017D8C1" w14:textId="199D0FC0" w:rsidR="007E67CD" w:rsidRPr="00716A39" w:rsidRDefault="007E67CD" w:rsidP="00B71DDC">
            <w:pPr>
              <w:rPr>
                <w:rFonts w:ascii="Arial" w:hAnsi="Arial" w:cs="Arial"/>
                <w:b/>
                <w:bCs/>
                <w:color w:val="FFFFFF" w:themeColor="background1"/>
                <w:sz w:val="18"/>
                <w:szCs w:val="18"/>
              </w:rPr>
            </w:pPr>
            <w:r w:rsidRPr="00716A39">
              <w:rPr>
                <w:rFonts w:ascii="Arial" w:hAnsi="Arial" w:cs="Arial"/>
                <w:b/>
                <w:bCs/>
                <w:color w:val="FFFFFF" w:themeColor="background1"/>
                <w:sz w:val="18"/>
                <w:szCs w:val="18"/>
              </w:rPr>
              <w:t xml:space="preserve">Supporting </w:t>
            </w:r>
            <w:r w:rsidR="0064240C" w:rsidRPr="00716A39">
              <w:rPr>
                <w:rFonts w:ascii="Arial" w:hAnsi="Arial" w:cs="Arial"/>
                <w:b/>
                <w:bCs/>
                <w:color w:val="FFFFFF" w:themeColor="background1"/>
                <w:sz w:val="18"/>
                <w:szCs w:val="18"/>
              </w:rPr>
              <w:t>T</w:t>
            </w:r>
            <w:r w:rsidRPr="00716A39">
              <w:rPr>
                <w:rFonts w:ascii="Arial" w:hAnsi="Arial" w:cs="Arial"/>
                <w:b/>
                <w:bCs/>
                <w:color w:val="FFFFFF" w:themeColor="background1"/>
                <w:sz w:val="18"/>
                <w:szCs w:val="18"/>
              </w:rPr>
              <w:t xml:space="preserve">ools and </w:t>
            </w:r>
            <w:r w:rsidR="0064240C" w:rsidRPr="00716A39">
              <w:rPr>
                <w:rFonts w:ascii="Arial" w:hAnsi="Arial" w:cs="Arial"/>
                <w:b/>
                <w:bCs/>
                <w:color w:val="FFFFFF" w:themeColor="background1"/>
                <w:sz w:val="18"/>
                <w:szCs w:val="18"/>
              </w:rPr>
              <w:t>S</w:t>
            </w:r>
            <w:r w:rsidRPr="00716A39">
              <w:rPr>
                <w:rFonts w:ascii="Arial" w:hAnsi="Arial" w:cs="Arial"/>
                <w:b/>
                <w:bCs/>
                <w:color w:val="FFFFFF" w:themeColor="background1"/>
                <w:sz w:val="18"/>
                <w:szCs w:val="18"/>
              </w:rPr>
              <w:t>ystems</w:t>
            </w:r>
          </w:p>
        </w:tc>
        <w:tc>
          <w:tcPr>
            <w:tcW w:w="3573" w:type="dxa"/>
          </w:tcPr>
          <w:p w14:paraId="2DE31CB0" w14:textId="7D9C54DA" w:rsidR="007E67CD" w:rsidRPr="00F61431" w:rsidRDefault="00380FB6" w:rsidP="007E67CD">
            <w:pPr>
              <w:rPr>
                <w:rFonts w:ascii="Arial" w:hAnsi="Arial" w:cs="Arial"/>
                <w:sz w:val="15"/>
                <w:szCs w:val="15"/>
              </w:rPr>
            </w:pPr>
            <w:r w:rsidRPr="00F61431">
              <w:rPr>
                <w:rFonts w:ascii="Arial" w:hAnsi="Arial" w:cs="Arial"/>
                <w:sz w:val="15"/>
                <w:szCs w:val="15"/>
              </w:rPr>
              <w:t>Princip</w:t>
            </w:r>
            <w:r w:rsidR="00756E49">
              <w:rPr>
                <w:rFonts w:ascii="Arial" w:hAnsi="Arial" w:cs="Arial"/>
                <w:sz w:val="15"/>
                <w:szCs w:val="15"/>
              </w:rPr>
              <w:t>a</w:t>
            </w:r>
            <w:r w:rsidRPr="00F61431">
              <w:rPr>
                <w:rFonts w:ascii="Arial" w:hAnsi="Arial" w:cs="Arial"/>
                <w:sz w:val="15"/>
                <w:szCs w:val="15"/>
              </w:rPr>
              <w:t xml:space="preserve">l officers and senior executives are not provided with sufficient training to understand </w:t>
            </w:r>
            <w:r w:rsidR="00CF1CE6" w:rsidRPr="00F61431">
              <w:rPr>
                <w:rFonts w:ascii="Arial" w:hAnsi="Arial" w:cs="Arial"/>
                <w:sz w:val="15"/>
                <w:szCs w:val="15"/>
              </w:rPr>
              <w:t xml:space="preserve">and meet </w:t>
            </w:r>
            <w:r w:rsidRPr="00F61431">
              <w:rPr>
                <w:rFonts w:ascii="Arial" w:hAnsi="Arial" w:cs="Arial"/>
                <w:sz w:val="15"/>
                <w:szCs w:val="15"/>
              </w:rPr>
              <w:t xml:space="preserve">their legislative responsibilities. </w:t>
            </w:r>
            <w:r w:rsidR="00CF1CE6" w:rsidRPr="00F61431">
              <w:rPr>
                <w:rFonts w:ascii="Arial" w:hAnsi="Arial" w:cs="Arial"/>
                <w:sz w:val="15"/>
                <w:szCs w:val="15"/>
              </w:rPr>
              <w:t xml:space="preserve">Systems </w:t>
            </w:r>
            <w:r w:rsidR="00BB5DC6">
              <w:rPr>
                <w:rFonts w:ascii="Arial" w:hAnsi="Arial" w:cs="Arial"/>
                <w:sz w:val="15"/>
                <w:szCs w:val="15"/>
              </w:rPr>
              <w:t xml:space="preserve">do not </w:t>
            </w:r>
            <w:r w:rsidR="00CF1CE6" w:rsidRPr="00F61431">
              <w:rPr>
                <w:rFonts w:ascii="Arial" w:hAnsi="Arial" w:cs="Arial"/>
                <w:sz w:val="15"/>
                <w:szCs w:val="15"/>
              </w:rPr>
              <w:t>provide the functionality to manage information access request</w:t>
            </w:r>
            <w:r w:rsidR="005C0F11">
              <w:rPr>
                <w:rFonts w:ascii="Arial" w:hAnsi="Arial" w:cs="Arial"/>
                <w:sz w:val="15"/>
                <w:szCs w:val="15"/>
              </w:rPr>
              <w:t>s</w:t>
            </w:r>
            <w:r w:rsidR="00CF1CE6" w:rsidRPr="00F61431">
              <w:rPr>
                <w:rFonts w:ascii="Arial" w:hAnsi="Arial" w:cs="Arial"/>
                <w:sz w:val="15"/>
                <w:szCs w:val="15"/>
              </w:rPr>
              <w:t xml:space="preserve"> in a compliant manner.</w:t>
            </w:r>
          </w:p>
        </w:tc>
        <w:tc>
          <w:tcPr>
            <w:tcW w:w="3574" w:type="dxa"/>
          </w:tcPr>
          <w:p w14:paraId="7CD044BB" w14:textId="71702235" w:rsidR="007E67CD" w:rsidRPr="00F61431" w:rsidRDefault="00380FB6" w:rsidP="007E67CD">
            <w:pPr>
              <w:rPr>
                <w:rFonts w:ascii="Arial" w:hAnsi="Arial" w:cs="Arial"/>
                <w:sz w:val="15"/>
                <w:szCs w:val="15"/>
              </w:rPr>
            </w:pPr>
            <w:r w:rsidRPr="00F61431">
              <w:rPr>
                <w:rFonts w:ascii="Arial" w:hAnsi="Arial" w:cs="Arial"/>
                <w:sz w:val="15"/>
                <w:szCs w:val="15"/>
              </w:rPr>
              <w:t>Princip</w:t>
            </w:r>
            <w:r w:rsidR="00756E49">
              <w:rPr>
                <w:rFonts w:ascii="Arial" w:hAnsi="Arial" w:cs="Arial"/>
                <w:sz w:val="15"/>
                <w:szCs w:val="15"/>
              </w:rPr>
              <w:t>a</w:t>
            </w:r>
            <w:r w:rsidRPr="00F61431">
              <w:rPr>
                <w:rFonts w:ascii="Arial" w:hAnsi="Arial" w:cs="Arial"/>
                <w:sz w:val="15"/>
                <w:szCs w:val="15"/>
              </w:rPr>
              <w:t>l officers and senior executives are provided with training to understand and meet their legislative responsibilities. Systems provide the functionality to manage information access request</w:t>
            </w:r>
            <w:r w:rsidR="005C0F11">
              <w:rPr>
                <w:rFonts w:ascii="Arial" w:hAnsi="Arial" w:cs="Arial"/>
                <w:sz w:val="15"/>
                <w:szCs w:val="15"/>
              </w:rPr>
              <w:t>s</w:t>
            </w:r>
            <w:r w:rsidRPr="00F61431">
              <w:rPr>
                <w:rFonts w:ascii="Arial" w:hAnsi="Arial" w:cs="Arial"/>
                <w:sz w:val="15"/>
                <w:szCs w:val="15"/>
              </w:rPr>
              <w:t xml:space="preserve"> in a compliant manner. </w:t>
            </w:r>
          </w:p>
        </w:tc>
        <w:tc>
          <w:tcPr>
            <w:tcW w:w="3574" w:type="dxa"/>
          </w:tcPr>
          <w:p w14:paraId="0DD01FE1" w14:textId="19B8C5AF" w:rsidR="007E67CD" w:rsidRPr="00F61431" w:rsidRDefault="00380FB6" w:rsidP="007E67CD">
            <w:pPr>
              <w:rPr>
                <w:rFonts w:ascii="Arial" w:hAnsi="Arial" w:cs="Arial"/>
                <w:sz w:val="15"/>
                <w:szCs w:val="15"/>
              </w:rPr>
            </w:pPr>
            <w:r w:rsidRPr="00F61431">
              <w:rPr>
                <w:rFonts w:ascii="Arial" w:hAnsi="Arial" w:cs="Arial"/>
                <w:sz w:val="15"/>
                <w:szCs w:val="15"/>
              </w:rPr>
              <w:t xml:space="preserve">Training is provided for principal officers, senior </w:t>
            </w:r>
            <w:r w:rsidR="008E5E3A" w:rsidRPr="00F61431">
              <w:rPr>
                <w:rFonts w:ascii="Arial" w:hAnsi="Arial" w:cs="Arial"/>
                <w:sz w:val="15"/>
                <w:szCs w:val="15"/>
              </w:rPr>
              <w:t>executives,</w:t>
            </w:r>
            <w:r w:rsidRPr="00F61431">
              <w:rPr>
                <w:rFonts w:ascii="Arial" w:hAnsi="Arial" w:cs="Arial"/>
                <w:sz w:val="15"/>
                <w:szCs w:val="15"/>
              </w:rPr>
              <w:t xml:space="preserve"> and other relevant staff on a regular basis. There is a dedicated system, such as a case management tool, in place to manage information access requests. Guidance and documented procedures are available to staff which provide specific information on information access processes.</w:t>
            </w:r>
          </w:p>
        </w:tc>
        <w:tc>
          <w:tcPr>
            <w:tcW w:w="3570" w:type="dxa"/>
          </w:tcPr>
          <w:p w14:paraId="0463AF0B" w14:textId="5B82D22F" w:rsidR="007E67CD" w:rsidRPr="00F61431" w:rsidRDefault="00380FB6" w:rsidP="007E67CD">
            <w:pPr>
              <w:rPr>
                <w:rFonts w:ascii="Arial" w:hAnsi="Arial" w:cs="Arial"/>
                <w:sz w:val="15"/>
                <w:szCs w:val="15"/>
              </w:rPr>
            </w:pPr>
            <w:r w:rsidRPr="00F61431">
              <w:rPr>
                <w:rFonts w:ascii="Arial" w:hAnsi="Arial" w:cs="Arial"/>
                <w:sz w:val="15"/>
                <w:szCs w:val="15"/>
              </w:rPr>
              <w:t xml:space="preserve">Reviews and improvements to processes and procedures is communicated in regular organisational training sessions. Data insights </w:t>
            </w:r>
            <w:r w:rsidR="00BB5DC6">
              <w:rPr>
                <w:rFonts w:ascii="Arial" w:hAnsi="Arial" w:cs="Arial"/>
                <w:sz w:val="15"/>
                <w:szCs w:val="15"/>
              </w:rPr>
              <w:t xml:space="preserve">and </w:t>
            </w:r>
            <w:r w:rsidRPr="00F61431">
              <w:rPr>
                <w:rFonts w:ascii="Arial" w:hAnsi="Arial" w:cs="Arial"/>
                <w:sz w:val="15"/>
                <w:szCs w:val="15"/>
              </w:rPr>
              <w:t xml:space="preserve">analytics are derived from case management tools used to manage information access requests. The guidance provided to staff is frequently reviewed and refined to respond to changing information access risks as identified in wider organisational risk and audit processes. </w:t>
            </w:r>
          </w:p>
        </w:tc>
      </w:tr>
      <w:tr w:rsidR="004D64B2" w:rsidRPr="00F61431" w14:paraId="172D345E" w14:textId="77777777" w:rsidTr="00716A39">
        <w:trPr>
          <w:cantSplit/>
        </w:trPr>
        <w:tc>
          <w:tcPr>
            <w:tcW w:w="1297" w:type="dxa"/>
            <w:shd w:val="clear" w:color="auto" w:fill="222A35" w:themeFill="text2" w:themeFillShade="80"/>
          </w:tcPr>
          <w:p w14:paraId="11D69CCB" w14:textId="0C2EB026" w:rsidR="007E67CD" w:rsidRPr="00716A39" w:rsidRDefault="007E67CD" w:rsidP="00B71DDC">
            <w:pPr>
              <w:rPr>
                <w:rFonts w:ascii="Arial" w:hAnsi="Arial" w:cs="Arial"/>
                <w:b/>
                <w:bCs/>
                <w:color w:val="FFFFFF" w:themeColor="background1"/>
                <w:sz w:val="18"/>
                <w:szCs w:val="18"/>
              </w:rPr>
            </w:pPr>
            <w:r w:rsidRPr="00716A39">
              <w:rPr>
                <w:rFonts w:ascii="Arial" w:hAnsi="Arial" w:cs="Arial"/>
                <w:b/>
                <w:bCs/>
                <w:color w:val="FFFFFF" w:themeColor="background1"/>
                <w:sz w:val="18"/>
                <w:szCs w:val="18"/>
              </w:rPr>
              <w:t>GIPA Functions</w:t>
            </w:r>
          </w:p>
        </w:tc>
        <w:tc>
          <w:tcPr>
            <w:tcW w:w="3573" w:type="dxa"/>
          </w:tcPr>
          <w:p w14:paraId="7149D6C2" w14:textId="7911101C" w:rsidR="007E67CD" w:rsidRPr="00F61431" w:rsidRDefault="00313ADD" w:rsidP="007E67CD">
            <w:pPr>
              <w:rPr>
                <w:rFonts w:ascii="Arial" w:hAnsi="Arial" w:cs="Arial"/>
                <w:sz w:val="15"/>
                <w:szCs w:val="15"/>
              </w:rPr>
            </w:pPr>
            <w:r w:rsidRPr="00F61431">
              <w:rPr>
                <w:rFonts w:ascii="Arial" w:hAnsi="Arial" w:cs="Arial"/>
                <w:sz w:val="15"/>
                <w:szCs w:val="15"/>
              </w:rPr>
              <w:t xml:space="preserve">Delegations and authorisation of functions as required in legislation are not in place. </w:t>
            </w:r>
          </w:p>
        </w:tc>
        <w:tc>
          <w:tcPr>
            <w:tcW w:w="3574" w:type="dxa"/>
          </w:tcPr>
          <w:p w14:paraId="38C0C777" w14:textId="75DD448F" w:rsidR="007E67CD" w:rsidRPr="00F61431" w:rsidRDefault="00313ADD" w:rsidP="007E67CD">
            <w:pPr>
              <w:rPr>
                <w:rFonts w:ascii="Arial" w:hAnsi="Arial" w:cs="Arial"/>
                <w:sz w:val="15"/>
                <w:szCs w:val="15"/>
              </w:rPr>
            </w:pPr>
            <w:r w:rsidRPr="00F61431">
              <w:rPr>
                <w:rFonts w:ascii="Arial" w:hAnsi="Arial" w:cs="Arial"/>
                <w:sz w:val="15"/>
                <w:szCs w:val="15"/>
              </w:rPr>
              <w:t xml:space="preserve">The organisation has in place delegations and authorisation of functions as required in legislation and publicised as required. </w:t>
            </w:r>
          </w:p>
        </w:tc>
        <w:tc>
          <w:tcPr>
            <w:tcW w:w="3574" w:type="dxa"/>
          </w:tcPr>
          <w:p w14:paraId="5B45FAF0" w14:textId="6F5E73AB" w:rsidR="007E67CD" w:rsidRPr="00F61431" w:rsidRDefault="00313ADD" w:rsidP="007E67CD">
            <w:pPr>
              <w:rPr>
                <w:rFonts w:ascii="Arial" w:hAnsi="Arial" w:cs="Arial"/>
                <w:sz w:val="15"/>
                <w:szCs w:val="15"/>
              </w:rPr>
            </w:pPr>
            <w:r w:rsidRPr="00F61431">
              <w:rPr>
                <w:rFonts w:ascii="Arial" w:hAnsi="Arial" w:cs="Arial"/>
                <w:sz w:val="15"/>
                <w:szCs w:val="15"/>
              </w:rPr>
              <w:t>Delegations and functions are in place and there are processes to regularly review these. The</w:t>
            </w:r>
            <w:r w:rsidR="00BB5DC6">
              <w:rPr>
                <w:rFonts w:ascii="Arial" w:hAnsi="Arial" w:cs="Arial"/>
                <w:sz w:val="15"/>
                <w:szCs w:val="15"/>
              </w:rPr>
              <w:t>r</w:t>
            </w:r>
            <w:r w:rsidRPr="00F61431">
              <w:rPr>
                <w:rFonts w:ascii="Arial" w:hAnsi="Arial" w:cs="Arial"/>
                <w:sz w:val="15"/>
                <w:szCs w:val="15"/>
              </w:rPr>
              <w:t xml:space="preserve">e is an accessible record of the delegations and authorisations and when they were last reviewed. </w:t>
            </w:r>
          </w:p>
        </w:tc>
        <w:tc>
          <w:tcPr>
            <w:tcW w:w="3570" w:type="dxa"/>
          </w:tcPr>
          <w:p w14:paraId="26B8B60F" w14:textId="7629E78F" w:rsidR="007E67CD" w:rsidRPr="00F61431" w:rsidRDefault="00313ADD" w:rsidP="007E67CD">
            <w:pPr>
              <w:rPr>
                <w:rFonts w:ascii="Arial" w:hAnsi="Arial" w:cs="Arial"/>
                <w:sz w:val="15"/>
                <w:szCs w:val="15"/>
              </w:rPr>
            </w:pPr>
            <w:r w:rsidRPr="00F61431">
              <w:rPr>
                <w:rFonts w:ascii="Arial" w:hAnsi="Arial" w:cs="Arial"/>
                <w:sz w:val="15"/>
                <w:szCs w:val="15"/>
              </w:rPr>
              <w:t xml:space="preserve">Information access delegations and functions are considered as part of any structural changes to the organisation. Reviews of delegations and authorisations result in improvements that seek to address identified deficiencies, risks and issues in the management of information access requests.  </w:t>
            </w:r>
          </w:p>
        </w:tc>
      </w:tr>
    </w:tbl>
    <w:p w14:paraId="10264E7C" w14:textId="77777777" w:rsidR="007E67CD" w:rsidRPr="00F61431" w:rsidRDefault="007E67CD" w:rsidP="001C0481"/>
    <w:sectPr w:rsidR="007E67CD" w:rsidRPr="00F61431" w:rsidSect="001C0481">
      <w:footerReference w:type="even" r:id="rId11"/>
      <w:footerReference w:type="default" r:id="rId12"/>
      <w:pgSz w:w="16840" w:h="11900" w:orient="landscape"/>
      <w:pgMar w:top="488" w:right="1440" w:bottom="1440" w:left="58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2FD7" w14:textId="77777777" w:rsidR="00630FBC" w:rsidRDefault="00630FBC" w:rsidP="00741756">
      <w:r>
        <w:separator/>
      </w:r>
    </w:p>
  </w:endnote>
  <w:endnote w:type="continuationSeparator" w:id="0">
    <w:p w14:paraId="57CA09B8" w14:textId="77777777" w:rsidR="00630FBC" w:rsidRDefault="00630FBC" w:rsidP="0074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7796134"/>
      <w:docPartObj>
        <w:docPartGallery w:val="Page Numbers (Bottom of Page)"/>
        <w:docPartUnique/>
      </w:docPartObj>
    </w:sdtPr>
    <w:sdtEndPr>
      <w:rPr>
        <w:rStyle w:val="PageNumber"/>
      </w:rPr>
    </w:sdtEndPr>
    <w:sdtContent>
      <w:p w14:paraId="05232991" w14:textId="29FC377E" w:rsidR="00741756" w:rsidRDefault="00741756" w:rsidP="002B716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466172" w14:textId="77777777" w:rsidR="00741756" w:rsidRDefault="00741756" w:rsidP="0074175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0218025"/>
      <w:docPartObj>
        <w:docPartGallery w:val="Page Numbers (Bottom of Page)"/>
        <w:docPartUnique/>
      </w:docPartObj>
    </w:sdtPr>
    <w:sdtEndPr>
      <w:rPr>
        <w:rStyle w:val="PageNumber"/>
      </w:rPr>
    </w:sdtEndPr>
    <w:sdtContent>
      <w:p w14:paraId="26EFC6DD" w14:textId="2159900A" w:rsidR="00741756" w:rsidRDefault="00741756" w:rsidP="002B716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D110FA" w14:textId="77777777" w:rsidR="00741756" w:rsidRDefault="00741756" w:rsidP="0074175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BE3B9" w14:textId="77777777" w:rsidR="00630FBC" w:rsidRDefault="00630FBC" w:rsidP="00741756">
      <w:r>
        <w:separator/>
      </w:r>
    </w:p>
  </w:footnote>
  <w:footnote w:type="continuationSeparator" w:id="0">
    <w:p w14:paraId="1273E8F5" w14:textId="77777777" w:rsidR="00630FBC" w:rsidRDefault="00630FBC" w:rsidP="00741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81"/>
    <w:rsid w:val="00005C47"/>
    <w:rsid w:val="00037872"/>
    <w:rsid w:val="00046D55"/>
    <w:rsid w:val="000543E0"/>
    <w:rsid w:val="00056180"/>
    <w:rsid w:val="00081E71"/>
    <w:rsid w:val="00085AE1"/>
    <w:rsid w:val="000961CC"/>
    <w:rsid w:val="000B2963"/>
    <w:rsid w:val="000C3A4D"/>
    <w:rsid w:val="000C5D81"/>
    <w:rsid w:val="000F6F2A"/>
    <w:rsid w:val="00101E99"/>
    <w:rsid w:val="00157B23"/>
    <w:rsid w:val="00176052"/>
    <w:rsid w:val="00177387"/>
    <w:rsid w:val="001C0481"/>
    <w:rsid w:val="001D01F9"/>
    <w:rsid w:val="001E6537"/>
    <w:rsid w:val="00245EFD"/>
    <w:rsid w:val="002B7888"/>
    <w:rsid w:val="002D24CB"/>
    <w:rsid w:val="002E0A0D"/>
    <w:rsid w:val="00301572"/>
    <w:rsid w:val="003129BF"/>
    <w:rsid w:val="00313ADD"/>
    <w:rsid w:val="00380FB6"/>
    <w:rsid w:val="003B019E"/>
    <w:rsid w:val="003B3AF1"/>
    <w:rsid w:val="003D1524"/>
    <w:rsid w:val="003D15EA"/>
    <w:rsid w:val="003D22A2"/>
    <w:rsid w:val="003E6CC3"/>
    <w:rsid w:val="00421B0B"/>
    <w:rsid w:val="00456A41"/>
    <w:rsid w:val="00477725"/>
    <w:rsid w:val="00494720"/>
    <w:rsid w:val="00494D5A"/>
    <w:rsid w:val="004A467D"/>
    <w:rsid w:val="004D5A6A"/>
    <w:rsid w:val="004D64B2"/>
    <w:rsid w:val="00535B45"/>
    <w:rsid w:val="005418A1"/>
    <w:rsid w:val="00575801"/>
    <w:rsid w:val="005843FB"/>
    <w:rsid w:val="00584686"/>
    <w:rsid w:val="00586A86"/>
    <w:rsid w:val="005A5CC5"/>
    <w:rsid w:val="005B2489"/>
    <w:rsid w:val="005C0F11"/>
    <w:rsid w:val="005C177D"/>
    <w:rsid w:val="005D3F85"/>
    <w:rsid w:val="00610136"/>
    <w:rsid w:val="0061366D"/>
    <w:rsid w:val="0062119B"/>
    <w:rsid w:val="00626837"/>
    <w:rsid w:val="00630FBC"/>
    <w:rsid w:val="00631EC2"/>
    <w:rsid w:val="006402AA"/>
    <w:rsid w:val="0064240C"/>
    <w:rsid w:val="00653C69"/>
    <w:rsid w:val="00683354"/>
    <w:rsid w:val="006A3FFC"/>
    <w:rsid w:val="006A4810"/>
    <w:rsid w:val="006C518D"/>
    <w:rsid w:val="0070219D"/>
    <w:rsid w:val="007029FD"/>
    <w:rsid w:val="00716A39"/>
    <w:rsid w:val="007255D9"/>
    <w:rsid w:val="0073249A"/>
    <w:rsid w:val="0073453C"/>
    <w:rsid w:val="00741756"/>
    <w:rsid w:val="00746C13"/>
    <w:rsid w:val="00756E49"/>
    <w:rsid w:val="0078408E"/>
    <w:rsid w:val="00797912"/>
    <w:rsid w:val="007B2B72"/>
    <w:rsid w:val="007E67CD"/>
    <w:rsid w:val="00807376"/>
    <w:rsid w:val="008449A9"/>
    <w:rsid w:val="00856C95"/>
    <w:rsid w:val="008A26E2"/>
    <w:rsid w:val="008B2AB2"/>
    <w:rsid w:val="008C57BA"/>
    <w:rsid w:val="008D7A08"/>
    <w:rsid w:val="008D7E15"/>
    <w:rsid w:val="008E21D3"/>
    <w:rsid w:val="008E5E3A"/>
    <w:rsid w:val="00905BDD"/>
    <w:rsid w:val="009433EE"/>
    <w:rsid w:val="00947D5E"/>
    <w:rsid w:val="0095254A"/>
    <w:rsid w:val="00955987"/>
    <w:rsid w:val="0096106F"/>
    <w:rsid w:val="009B5E5F"/>
    <w:rsid w:val="009C7B53"/>
    <w:rsid w:val="009D3234"/>
    <w:rsid w:val="009E5CA7"/>
    <w:rsid w:val="00A04883"/>
    <w:rsid w:val="00A11B48"/>
    <w:rsid w:val="00A815F9"/>
    <w:rsid w:val="00A82C8B"/>
    <w:rsid w:val="00AA3526"/>
    <w:rsid w:val="00AB3B33"/>
    <w:rsid w:val="00AD56CF"/>
    <w:rsid w:val="00AE626C"/>
    <w:rsid w:val="00B12A24"/>
    <w:rsid w:val="00B66870"/>
    <w:rsid w:val="00B674D1"/>
    <w:rsid w:val="00B70D8F"/>
    <w:rsid w:val="00B71DDC"/>
    <w:rsid w:val="00B80487"/>
    <w:rsid w:val="00BB5DC6"/>
    <w:rsid w:val="00BC53EE"/>
    <w:rsid w:val="00BD05DE"/>
    <w:rsid w:val="00C03422"/>
    <w:rsid w:val="00C143F6"/>
    <w:rsid w:val="00C30FF8"/>
    <w:rsid w:val="00C71D58"/>
    <w:rsid w:val="00CC3748"/>
    <w:rsid w:val="00CD2C11"/>
    <w:rsid w:val="00CD73C8"/>
    <w:rsid w:val="00CE654A"/>
    <w:rsid w:val="00CF1CE6"/>
    <w:rsid w:val="00CF5E05"/>
    <w:rsid w:val="00D0310C"/>
    <w:rsid w:val="00D36160"/>
    <w:rsid w:val="00D45A1E"/>
    <w:rsid w:val="00D45BCE"/>
    <w:rsid w:val="00D46BFD"/>
    <w:rsid w:val="00D65745"/>
    <w:rsid w:val="00D676A1"/>
    <w:rsid w:val="00DC04CA"/>
    <w:rsid w:val="00E0191C"/>
    <w:rsid w:val="00E03190"/>
    <w:rsid w:val="00E224E6"/>
    <w:rsid w:val="00E37D30"/>
    <w:rsid w:val="00E53E31"/>
    <w:rsid w:val="00E54311"/>
    <w:rsid w:val="00EB630A"/>
    <w:rsid w:val="00EC03AF"/>
    <w:rsid w:val="00EF15DA"/>
    <w:rsid w:val="00F0266D"/>
    <w:rsid w:val="00F10AF5"/>
    <w:rsid w:val="00F31BE3"/>
    <w:rsid w:val="00F321FF"/>
    <w:rsid w:val="00F344F4"/>
    <w:rsid w:val="00F61431"/>
    <w:rsid w:val="00F704C3"/>
    <w:rsid w:val="00F71081"/>
    <w:rsid w:val="00F72208"/>
    <w:rsid w:val="00F822CB"/>
    <w:rsid w:val="00F925A3"/>
    <w:rsid w:val="00F9755D"/>
    <w:rsid w:val="00FE7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0A46"/>
  <w15:chartTrackingRefBased/>
  <w15:docId w15:val="{511DBC07-443D-BB4B-A28C-5EF515EF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3AF"/>
    <w:pPr>
      <w:keepNext/>
      <w:keepLines/>
      <w:spacing w:before="240"/>
      <w:outlineLvl w:val="0"/>
    </w:pPr>
    <w:rPr>
      <w:rFonts w:asciiTheme="majorHAnsi" w:eastAsiaTheme="majorEastAsia" w:hAnsiTheme="majorHAnsi" w:cstheme="majorBidi"/>
      <w:b/>
      <w:bCs/>
      <w:color w:val="000000" w:themeColor="text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3526"/>
    <w:rPr>
      <w:sz w:val="16"/>
      <w:szCs w:val="16"/>
    </w:rPr>
  </w:style>
  <w:style w:type="paragraph" w:styleId="CommentText">
    <w:name w:val="annotation text"/>
    <w:basedOn w:val="Normal"/>
    <w:link w:val="CommentTextChar"/>
    <w:uiPriority w:val="99"/>
    <w:semiHidden/>
    <w:unhideWhenUsed/>
    <w:rsid w:val="00AA3526"/>
    <w:rPr>
      <w:sz w:val="20"/>
      <w:szCs w:val="20"/>
    </w:rPr>
  </w:style>
  <w:style w:type="character" w:customStyle="1" w:styleId="CommentTextChar">
    <w:name w:val="Comment Text Char"/>
    <w:basedOn w:val="DefaultParagraphFont"/>
    <w:link w:val="CommentText"/>
    <w:uiPriority w:val="99"/>
    <w:semiHidden/>
    <w:rsid w:val="00AA3526"/>
    <w:rPr>
      <w:sz w:val="20"/>
      <w:szCs w:val="20"/>
    </w:rPr>
  </w:style>
  <w:style w:type="paragraph" w:styleId="CommentSubject">
    <w:name w:val="annotation subject"/>
    <w:basedOn w:val="CommentText"/>
    <w:next w:val="CommentText"/>
    <w:link w:val="CommentSubjectChar"/>
    <w:uiPriority w:val="99"/>
    <w:semiHidden/>
    <w:unhideWhenUsed/>
    <w:rsid w:val="00AA3526"/>
    <w:rPr>
      <w:b/>
      <w:bCs/>
    </w:rPr>
  </w:style>
  <w:style w:type="character" w:customStyle="1" w:styleId="CommentSubjectChar">
    <w:name w:val="Comment Subject Char"/>
    <w:basedOn w:val="CommentTextChar"/>
    <w:link w:val="CommentSubject"/>
    <w:uiPriority w:val="99"/>
    <w:semiHidden/>
    <w:rsid w:val="00AA3526"/>
    <w:rPr>
      <w:b/>
      <w:bCs/>
      <w:sz w:val="20"/>
      <w:szCs w:val="20"/>
    </w:rPr>
  </w:style>
  <w:style w:type="character" w:styleId="Hyperlink">
    <w:name w:val="Hyperlink"/>
    <w:basedOn w:val="DefaultParagraphFont"/>
    <w:uiPriority w:val="99"/>
    <w:unhideWhenUsed/>
    <w:rsid w:val="00085AE1"/>
    <w:rPr>
      <w:color w:val="0563C1" w:themeColor="hyperlink"/>
      <w:u w:val="single"/>
    </w:rPr>
  </w:style>
  <w:style w:type="character" w:styleId="UnresolvedMention">
    <w:name w:val="Unresolved Mention"/>
    <w:basedOn w:val="DefaultParagraphFont"/>
    <w:uiPriority w:val="99"/>
    <w:semiHidden/>
    <w:unhideWhenUsed/>
    <w:rsid w:val="00085AE1"/>
    <w:rPr>
      <w:color w:val="605E5C"/>
      <w:shd w:val="clear" w:color="auto" w:fill="E1DFDD"/>
    </w:rPr>
  </w:style>
  <w:style w:type="paragraph" w:styleId="Revision">
    <w:name w:val="Revision"/>
    <w:hidden/>
    <w:uiPriority w:val="99"/>
    <w:semiHidden/>
    <w:rsid w:val="00101E99"/>
  </w:style>
  <w:style w:type="character" w:customStyle="1" w:styleId="Heading1Char">
    <w:name w:val="Heading 1 Char"/>
    <w:basedOn w:val="DefaultParagraphFont"/>
    <w:link w:val="Heading1"/>
    <w:uiPriority w:val="9"/>
    <w:rsid w:val="00EC03AF"/>
    <w:rPr>
      <w:rFonts w:asciiTheme="majorHAnsi" w:eastAsiaTheme="majorEastAsia" w:hAnsiTheme="majorHAnsi" w:cstheme="majorBidi"/>
      <w:b/>
      <w:bCs/>
      <w:color w:val="000000" w:themeColor="text1"/>
      <w:sz w:val="36"/>
      <w:szCs w:val="36"/>
    </w:rPr>
  </w:style>
  <w:style w:type="paragraph" w:styleId="Header">
    <w:name w:val="header"/>
    <w:basedOn w:val="Normal"/>
    <w:link w:val="HeaderChar"/>
    <w:uiPriority w:val="99"/>
    <w:unhideWhenUsed/>
    <w:rsid w:val="00741756"/>
    <w:pPr>
      <w:tabs>
        <w:tab w:val="center" w:pos="4513"/>
        <w:tab w:val="right" w:pos="9026"/>
      </w:tabs>
    </w:pPr>
  </w:style>
  <w:style w:type="character" w:customStyle="1" w:styleId="HeaderChar">
    <w:name w:val="Header Char"/>
    <w:basedOn w:val="DefaultParagraphFont"/>
    <w:link w:val="Header"/>
    <w:uiPriority w:val="99"/>
    <w:rsid w:val="00741756"/>
  </w:style>
  <w:style w:type="paragraph" w:styleId="Footer">
    <w:name w:val="footer"/>
    <w:basedOn w:val="Normal"/>
    <w:link w:val="FooterChar"/>
    <w:uiPriority w:val="99"/>
    <w:unhideWhenUsed/>
    <w:rsid w:val="00741756"/>
    <w:pPr>
      <w:tabs>
        <w:tab w:val="center" w:pos="4513"/>
        <w:tab w:val="right" w:pos="9026"/>
      </w:tabs>
    </w:pPr>
  </w:style>
  <w:style w:type="character" w:customStyle="1" w:styleId="FooterChar">
    <w:name w:val="Footer Char"/>
    <w:basedOn w:val="DefaultParagraphFont"/>
    <w:link w:val="Footer"/>
    <w:uiPriority w:val="99"/>
    <w:rsid w:val="00741756"/>
  </w:style>
  <w:style w:type="character" w:styleId="PageNumber">
    <w:name w:val="page number"/>
    <w:basedOn w:val="DefaultParagraphFont"/>
    <w:uiPriority w:val="99"/>
    <w:semiHidden/>
    <w:unhideWhenUsed/>
    <w:rsid w:val="0074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11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7B3D2671C0B419C20ADDEB448215B" ma:contentTypeVersion="21" ma:contentTypeDescription="Create a new document." ma:contentTypeScope="" ma:versionID="1946a012b6a5c5a0f521dd1f745d99c0">
  <xsd:schema xmlns:xsd="http://www.w3.org/2001/XMLSchema" xmlns:xs="http://www.w3.org/2001/XMLSchema" xmlns:p="http://schemas.microsoft.com/office/2006/metadata/properties" xmlns:ns2="60a9a237-541a-4694-ac71-7c7974ea20d2" xmlns:ns3="6a08c7d6-d491-4b00-87ec-5ce5cfc631db" targetNamespace="http://schemas.microsoft.com/office/2006/metadata/properties" ma:root="true" ma:fieldsID="d2947c3f1097e1af50eeec5d752e4b58" ns2:_="" ns3:_="">
    <xsd:import namespace="60a9a237-541a-4694-ac71-7c7974ea20d2"/>
    <xsd:import namespace="6a08c7d6-d491-4b00-87ec-5ce5cfc631db"/>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a237-541a-4694-ac71-7c7974ea20d2"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829d6c-6ee0-4a20-baa2-9ab0a06e812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8c7d6-d491-4b00-87ec-5ce5cfc631d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33b13ff-dc2d-404a-aa41-4f6521a7357c}" ma:internalName="TaxCatchAll" ma:showField="CatchAllData" ma:web="6a08c7d6-d491-4b00-87ec-5ce5cfc63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edSourceSystemLocation xmlns="60a9a237-541a-4694-ac71-7c7974ea20d2" xsi:nil="true"/>
    <SharedDocumentAccessGuid xmlns="60a9a237-541a-4694-ac71-7c7974ea20d2" xsi:nil="true"/>
    <lcf76f155ced4ddcb4097134ff3c332f xmlns="60a9a237-541a-4694-ac71-7c7974ea20d2">
      <Terms xmlns="http://schemas.microsoft.com/office/infopath/2007/PartnerControls"/>
    </lcf76f155ced4ddcb4097134ff3c332f>
    <TaxCatchAll xmlns="6a08c7d6-d491-4b00-87ec-5ce5cfc631db" xsi:nil="true"/>
    <Archived xmlns="60a9a237-541a-4694-ac71-7c7974ea20d2" xsi:nil="true"/>
    <JSONPreview xmlns="60a9a237-541a-4694-ac71-7c7974ea20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2B6DD-117E-41D9-9F06-C2583AFDE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9a237-541a-4694-ac71-7c7974ea20d2"/>
    <ds:schemaRef ds:uri="6a08c7d6-d491-4b00-87ec-5ce5cfc63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EAFBC-6812-4523-9B75-683AD9F80CFA}">
  <ds:schemaRefs>
    <ds:schemaRef ds:uri="http://schemas.microsoft.com/sharepoint/v3/contenttype/forms"/>
  </ds:schemaRefs>
</ds:datastoreItem>
</file>

<file path=customXml/itemProps3.xml><?xml version="1.0" encoding="utf-8"?>
<ds:datastoreItem xmlns:ds="http://schemas.openxmlformats.org/officeDocument/2006/customXml" ds:itemID="{22B08D59-E843-4B14-9BA2-45B2518AFD98}">
  <ds:schemaRefs>
    <ds:schemaRef ds:uri="http://schemas.microsoft.com/office/2006/metadata/properties"/>
    <ds:schemaRef ds:uri="http://schemas.microsoft.com/office/infopath/2007/PartnerControls"/>
    <ds:schemaRef ds:uri="60a9a237-541a-4694-ac71-7c7974ea20d2"/>
    <ds:schemaRef ds:uri="6a08c7d6-d491-4b00-87ec-5ce5cfc631db"/>
  </ds:schemaRefs>
</ds:datastoreItem>
</file>

<file path=customXml/itemProps4.xml><?xml version="1.0" encoding="utf-8"?>
<ds:datastoreItem xmlns:ds="http://schemas.openxmlformats.org/officeDocument/2006/customXml" ds:itemID="{928444DF-FCCC-5D4A-AC3A-323CC5251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1624</Words>
  <Characters>9257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Vitlin</dc:creator>
  <cp:keywords/>
  <dc:description/>
  <cp:lastModifiedBy>Giles Aley</cp:lastModifiedBy>
  <cp:revision>2</cp:revision>
  <dcterms:created xsi:type="dcterms:W3CDTF">2023-05-22T00:37:00Z</dcterms:created>
  <dcterms:modified xsi:type="dcterms:W3CDTF">2023-05-22T00:37:00Z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0x0101000197B3D2671C0B419C20ADDEB448215B</vt:lpwstr>
  </property>
  <property fmtid="{D5CDD505-2E9C-101B-9397-08002B2CF9AE}" pid="3" name="MediaServiceImageTags">
    <vt:lpwstr/>
  </property>
</Properties>
</file>