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38729" w14:textId="537707C1" w:rsidR="003427F1" w:rsidRPr="00741756" w:rsidRDefault="003427F1" w:rsidP="003427F1">
      <w:pPr>
        <w:pStyle w:val="Heading1"/>
      </w:pPr>
      <w:r w:rsidRPr="003427F1">
        <w:rPr>
          <w:noProof/>
        </w:rPr>
        <w:drawing>
          <wp:anchor distT="0" distB="0" distL="114300" distR="114300" simplePos="0" relativeHeight="251659264" behindDoc="0" locked="0" layoutInCell="1" allowOverlap="1" wp14:anchorId="6B29F550" wp14:editId="43B500E3">
            <wp:simplePos x="0" y="0"/>
            <wp:positionH relativeFrom="column">
              <wp:posOffset>8749665</wp:posOffset>
            </wp:positionH>
            <wp:positionV relativeFrom="page">
              <wp:posOffset>407940</wp:posOffset>
            </wp:positionV>
            <wp:extent cx="1125977" cy="576393"/>
            <wp:effectExtent l="0" t="0" r="4445" b="0"/>
            <wp:wrapNone/>
            <wp:docPr id="2" name="Picture 1" descr="Home">
              <a:extLst xmlns:a="http://schemas.openxmlformats.org/drawingml/2006/main">
                <a:ext uri="{FF2B5EF4-FFF2-40B4-BE49-F238E27FC236}">
                  <a16:creationId xmlns:a16="http://schemas.microsoft.com/office/drawing/2014/main" id="{06043116-4849-5348-BB9D-B4B84BA3A07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Home">
                      <a:extLst>
                        <a:ext uri="{FF2B5EF4-FFF2-40B4-BE49-F238E27FC236}">
                          <a16:creationId xmlns:a16="http://schemas.microsoft.com/office/drawing/2014/main" id="{06043116-4849-5348-BB9D-B4B84BA3A07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977" cy="576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2888" w:rsidRPr="00EC2888">
        <w:t xml:space="preserve"> </w:t>
      </w:r>
      <w:r w:rsidR="00EC2888" w:rsidRPr="00EC2888">
        <w:rPr>
          <w:noProof/>
        </w:rPr>
        <w:t xml:space="preserve">Mandatory Notification of Data Breach (MNDB) </w:t>
      </w:r>
      <w:r w:rsidR="00C62DF4">
        <w:rPr>
          <w:noProof/>
        </w:rPr>
        <w:t xml:space="preserve">Scheme </w:t>
      </w:r>
      <w:r w:rsidRPr="003427F1">
        <w:t>Maturity</w:t>
      </w:r>
      <w:r w:rsidRPr="00741756">
        <w:t xml:space="preserve"> Matrix</w:t>
      </w:r>
    </w:p>
    <w:p w14:paraId="4865242F" w14:textId="24F49FEB" w:rsidR="003427F1" w:rsidRDefault="003427F1" w:rsidP="00734E8F">
      <w:pPr>
        <w:ind w:left="-284"/>
      </w:pPr>
      <w:r>
        <w:t xml:space="preserve">Version </w:t>
      </w:r>
      <w:r w:rsidR="009C0730">
        <w:t>1.</w:t>
      </w:r>
      <w:r w:rsidR="009E30CA">
        <w:t>1</w:t>
      </w:r>
    </w:p>
    <w:p w14:paraId="47526AB5" w14:textId="77777777" w:rsidR="003427F1" w:rsidRPr="006C4736" w:rsidRDefault="003427F1">
      <w:pPr>
        <w:rPr>
          <w:sz w:val="16"/>
          <w:szCs w:val="16"/>
        </w:rPr>
      </w:pPr>
    </w:p>
    <w:tbl>
      <w:tblPr>
        <w:tblStyle w:val="TableGrid"/>
        <w:tblW w:w="15744" w:type="dxa"/>
        <w:tblInd w:w="-142" w:type="dxa"/>
        <w:tblCellMar>
          <w:top w:w="57" w:type="dxa"/>
          <w:bottom w:w="57" w:type="dxa"/>
        </w:tblCellMar>
        <w:tblLook w:val="0600" w:firstRow="0" w:lastRow="0" w:firstColumn="0" w:lastColumn="0" w:noHBand="1" w:noVBand="1"/>
      </w:tblPr>
      <w:tblGrid>
        <w:gridCol w:w="1457"/>
        <w:gridCol w:w="3569"/>
        <w:gridCol w:w="3570"/>
        <w:gridCol w:w="3572"/>
        <w:gridCol w:w="3576"/>
      </w:tblGrid>
      <w:tr w:rsidR="006C4736" w:rsidRPr="00584686" w14:paraId="60886B73" w14:textId="77777777" w:rsidTr="009E30CA">
        <w:trPr>
          <w:cantSplit/>
          <w:tblHeader/>
        </w:trPr>
        <w:tc>
          <w:tcPr>
            <w:tcW w:w="1457" w:type="dxa"/>
            <w:tcBorders>
              <w:top w:val="nil"/>
              <w:left w:val="nil"/>
              <w:bottom w:val="nil"/>
            </w:tcBorders>
          </w:tcPr>
          <w:p w14:paraId="35AF4917" w14:textId="77777777" w:rsidR="006C4736" w:rsidRPr="00584686" w:rsidRDefault="006C4736" w:rsidP="001F36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287" w:type="dxa"/>
            <w:gridSpan w:val="4"/>
            <w:shd w:val="clear" w:color="auto" w:fill="B4C6E7" w:themeFill="accent1" w:themeFillTint="66"/>
          </w:tcPr>
          <w:p w14:paraId="2093C8BB" w14:textId="77777777" w:rsidR="006C4736" w:rsidRPr="00956D3A" w:rsidRDefault="006C4736" w:rsidP="001F36F3">
            <w:pPr>
              <w:jc w:val="center"/>
              <w:rPr>
                <w:rFonts w:ascii="Arial" w:hAnsi="Arial" w:cs="Arial"/>
                <w:b/>
                <w:bCs/>
              </w:rPr>
            </w:pPr>
            <w:r w:rsidRPr="00956D3A">
              <w:rPr>
                <w:rFonts w:ascii="Arial" w:hAnsi="Arial" w:cs="Arial"/>
                <w:b/>
                <w:bCs/>
              </w:rPr>
              <w:t>Maturity Level</w:t>
            </w:r>
          </w:p>
        </w:tc>
      </w:tr>
      <w:tr w:rsidR="00EC2888" w:rsidRPr="00584686" w14:paraId="51CDAD25" w14:textId="77777777" w:rsidTr="009E30CA">
        <w:trPr>
          <w:cantSplit/>
          <w:trHeight w:val="339"/>
          <w:tblHeader/>
        </w:trPr>
        <w:tc>
          <w:tcPr>
            <w:tcW w:w="1457" w:type="dxa"/>
            <w:tcBorders>
              <w:top w:val="nil"/>
              <w:left w:val="nil"/>
              <w:bottom w:val="nil"/>
            </w:tcBorders>
          </w:tcPr>
          <w:p w14:paraId="0C97754D" w14:textId="77777777" w:rsidR="00EC2888" w:rsidRPr="00584686" w:rsidRDefault="00EC2888" w:rsidP="00734E8F">
            <w:pPr>
              <w:ind w:left="-249" w:firstLine="249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69" w:type="dxa"/>
            <w:shd w:val="clear" w:color="auto" w:fill="B4C6E7" w:themeFill="accent1" w:themeFillTint="66"/>
            <w:vAlign w:val="center"/>
          </w:tcPr>
          <w:p w14:paraId="5558491F" w14:textId="774EF496" w:rsidR="00EC2888" w:rsidRPr="00584686" w:rsidRDefault="00FF1847" w:rsidP="006C473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Ad</w:t>
            </w:r>
            <w:r w:rsidR="0087051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Hoc </w:t>
            </w:r>
            <w:r w:rsidR="00EC2888">
              <w:rPr>
                <w:rFonts w:ascii="Arial" w:hAnsi="Arial" w:cs="Arial"/>
                <w:b/>
                <w:bCs/>
                <w:sz w:val="22"/>
                <w:szCs w:val="22"/>
              </w:rPr>
              <w:t>Complian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ce</w:t>
            </w:r>
          </w:p>
        </w:tc>
        <w:tc>
          <w:tcPr>
            <w:tcW w:w="3570" w:type="dxa"/>
            <w:shd w:val="clear" w:color="auto" w:fill="B4C6E7" w:themeFill="accent1" w:themeFillTint="66"/>
            <w:vAlign w:val="center"/>
          </w:tcPr>
          <w:p w14:paraId="0E3171D4" w14:textId="66E62F71" w:rsidR="00EC2888" w:rsidRPr="00584686" w:rsidRDefault="00EC2888" w:rsidP="006C473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4686">
              <w:rPr>
                <w:rFonts w:ascii="Arial" w:hAnsi="Arial" w:cs="Arial"/>
                <w:b/>
                <w:bCs/>
                <w:sz w:val="22"/>
                <w:szCs w:val="22"/>
              </w:rPr>
              <w:t>Meeting Compliance</w:t>
            </w:r>
          </w:p>
        </w:tc>
        <w:tc>
          <w:tcPr>
            <w:tcW w:w="7143" w:type="dxa"/>
            <w:gridSpan w:val="2"/>
            <w:shd w:val="clear" w:color="auto" w:fill="002060"/>
            <w:vAlign w:val="center"/>
          </w:tcPr>
          <w:p w14:paraId="5335CB86" w14:textId="4FFDA390" w:rsidR="00EC2888" w:rsidRPr="00584686" w:rsidRDefault="00EC2888" w:rsidP="006C473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4686">
              <w:rPr>
                <w:rFonts w:ascii="Arial" w:hAnsi="Arial" w:cs="Arial"/>
                <w:b/>
                <w:bCs/>
                <w:sz w:val="22"/>
                <w:szCs w:val="22"/>
              </w:rPr>
              <w:t>Pursuing Best Practice</w:t>
            </w:r>
          </w:p>
        </w:tc>
      </w:tr>
      <w:tr w:rsidR="004D64B2" w:rsidRPr="00584686" w14:paraId="132793D6" w14:textId="77777777" w:rsidTr="009E30CA">
        <w:trPr>
          <w:cantSplit/>
          <w:tblHeader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</w:tcBorders>
            <w:shd w:val="clear" w:color="auto" w:fill="222A35" w:themeFill="text2" w:themeFillShade="80"/>
          </w:tcPr>
          <w:p w14:paraId="3A6E403C" w14:textId="29A0ABD1" w:rsidR="007E67CD" w:rsidRPr="00956D3A" w:rsidRDefault="008833B5" w:rsidP="001672F4">
            <w:pPr>
              <w:rPr>
                <w:rFonts w:ascii="Arial" w:hAnsi="Arial" w:cs="Arial"/>
                <w:b/>
                <w:bCs/>
              </w:rPr>
            </w:pPr>
            <w:r w:rsidRPr="00956D3A">
              <w:rPr>
                <w:rFonts w:ascii="Arial" w:hAnsi="Arial" w:cs="Arial"/>
                <w:b/>
                <w:bCs/>
              </w:rPr>
              <w:t>Area of Practice</w:t>
            </w:r>
          </w:p>
        </w:tc>
        <w:tc>
          <w:tcPr>
            <w:tcW w:w="3569" w:type="dxa"/>
            <w:shd w:val="clear" w:color="auto" w:fill="D9E2F3" w:themeFill="accent1" w:themeFillTint="33"/>
          </w:tcPr>
          <w:p w14:paraId="32A30F52" w14:textId="0313D9A0" w:rsidR="007E67CD" w:rsidRPr="00584686" w:rsidRDefault="007E67CD" w:rsidP="001672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4686">
              <w:rPr>
                <w:rFonts w:ascii="Arial" w:hAnsi="Arial" w:cs="Arial"/>
                <w:b/>
                <w:bCs/>
                <w:sz w:val="22"/>
                <w:szCs w:val="22"/>
              </w:rPr>
              <w:t>Level 1 – Developing Foundations</w:t>
            </w:r>
          </w:p>
        </w:tc>
        <w:tc>
          <w:tcPr>
            <w:tcW w:w="3570" w:type="dxa"/>
            <w:shd w:val="clear" w:color="auto" w:fill="B4C6E7" w:themeFill="accent1" w:themeFillTint="66"/>
          </w:tcPr>
          <w:p w14:paraId="348F883E" w14:textId="61094551" w:rsidR="007E67CD" w:rsidRPr="00584686" w:rsidRDefault="007E67CD" w:rsidP="001672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468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Level 2 – Established </w:t>
            </w:r>
            <w:r w:rsidR="00805123">
              <w:rPr>
                <w:rFonts w:ascii="Arial" w:hAnsi="Arial" w:cs="Arial"/>
                <w:b/>
                <w:bCs/>
                <w:sz w:val="22"/>
                <w:szCs w:val="22"/>
              </w:rPr>
              <w:t>Compliance</w:t>
            </w:r>
          </w:p>
        </w:tc>
        <w:tc>
          <w:tcPr>
            <w:tcW w:w="3572" w:type="dxa"/>
            <w:shd w:val="clear" w:color="auto" w:fill="2F5496" w:themeFill="accent1" w:themeFillShade="BF"/>
          </w:tcPr>
          <w:p w14:paraId="6F164346" w14:textId="7EB635C4" w:rsidR="007E67CD" w:rsidRPr="00584686" w:rsidRDefault="007E67CD" w:rsidP="001672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427F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Level 3 – Embedded Operations</w:t>
            </w:r>
          </w:p>
        </w:tc>
        <w:tc>
          <w:tcPr>
            <w:tcW w:w="3576" w:type="dxa"/>
            <w:shd w:val="clear" w:color="auto" w:fill="002060"/>
          </w:tcPr>
          <w:p w14:paraId="441FCDD1" w14:textId="69E13DEB" w:rsidR="007E67CD" w:rsidRPr="00584686" w:rsidRDefault="007E67CD" w:rsidP="001672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4686">
              <w:rPr>
                <w:rFonts w:ascii="Arial" w:hAnsi="Arial" w:cs="Arial"/>
                <w:b/>
                <w:bCs/>
                <w:sz w:val="22"/>
                <w:szCs w:val="22"/>
              </w:rPr>
              <w:t>Level 4 – Optimised Excellence</w:t>
            </w:r>
          </w:p>
        </w:tc>
      </w:tr>
      <w:tr w:rsidR="00755358" w:rsidRPr="002D24CB" w14:paraId="30D35C3C" w14:textId="77777777" w:rsidTr="009E30CA">
        <w:trPr>
          <w:cantSplit/>
          <w:trHeight w:val="1050"/>
        </w:trPr>
        <w:tc>
          <w:tcPr>
            <w:tcW w:w="1457" w:type="dxa"/>
            <w:shd w:val="clear" w:color="auto" w:fill="222A35" w:themeFill="text2" w:themeFillShade="80"/>
          </w:tcPr>
          <w:p w14:paraId="705F221A" w14:textId="296788EB" w:rsidR="00755358" w:rsidRPr="0036577C" w:rsidRDefault="00EC2888" w:rsidP="0075535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577C">
              <w:rPr>
                <w:rFonts w:ascii="Arial" w:hAnsi="Arial" w:cs="Arial"/>
                <w:b/>
                <w:bCs/>
                <w:sz w:val="18"/>
                <w:szCs w:val="18"/>
              </w:rPr>
              <w:t>Governance and Accountability</w:t>
            </w:r>
          </w:p>
        </w:tc>
        <w:tc>
          <w:tcPr>
            <w:tcW w:w="3569" w:type="dxa"/>
          </w:tcPr>
          <w:p w14:paraId="0CAC237A" w14:textId="2FA4C3D9" w:rsidR="007E4638" w:rsidRPr="0036577C" w:rsidRDefault="00755358" w:rsidP="007E4638">
            <w:pPr>
              <w:rPr>
                <w:rFonts w:ascii="Arial" w:hAnsi="Arial" w:cs="Arial"/>
                <w:sz w:val="15"/>
                <w:szCs w:val="15"/>
              </w:rPr>
            </w:pPr>
            <w:r w:rsidRPr="0036577C">
              <w:rPr>
                <w:rFonts w:ascii="Arial" w:hAnsi="Arial" w:cs="Arial"/>
                <w:sz w:val="15"/>
                <w:szCs w:val="15"/>
              </w:rPr>
              <w:t xml:space="preserve">The </w:t>
            </w:r>
            <w:r w:rsidR="008B437C" w:rsidRPr="0036577C">
              <w:rPr>
                <w:rFonts w:ascii="Arial" w:hAnsi="Arial" w:cs="Arial"/>
                <w:sz w:val="15"/>
                <w:szCs w:val="15"/>
              </w:rPr>
              <w:t xml:space="preserve">Executive and Senior Leadership </w:t>
            </w:r>
            <w:r w:rsidR="002055E0" w:rsidRPr="0036577C">
              <w:rPr>
                <w:rFonts w:ascii="Arial" w:hAnsi="Arial" w:cs="Arial"/>
                <w:sz w:val="15"/>
                <w:szCs w:val="15"/>
              </w:rPr>
              <w:t>are</w:t>
            </w:r>
            <w:r w:rsidRPr="0036577C">
              <w:rPr>
                <w:rFonts w:ascii="Arial" w:hAnsi="Arial" w:cs="Arial"/>
                <w:sz w:val="15"/>
                <w:szCs w:val="15"/>
              </w:rPr>
              <w:t xml:space="preserve"> building awareness of their role in promoting </w:t>
            </w:r>
            <w:r w:rsidR="00637D47" w:rsidRPr="0036577C">
              <w:rPr>
                <w:rFonts w:ascii="Arial" w:hAnsi="Arial" w:cs="Arial"/>
                <w:sz w:val="15"/>
                <w:szCs w:val="15"/>
              </w:rPr>
              <w:t>MNDB</w:t>
            </w:r>
            <w:r w:rsidR="0065471F">
              <w:rPr>
                <w:rFonts w:ascii="Arial" w:hAnsi="Arial" w:cs="Arial"/>
                <w:sz w:val="15"/>
                <w:szCs w:val="15"/>
              </w:rPr>
              <w:t xml:space="preserve"> within the </w:t>
            </w:r>
            <w:r w:rsidR="00C15C82">
              <w:rPr>
                <w:rFonts w:ascii="Arial" w:hAnsi="Arial" w:cs="Arial"/>
                <w:sz w:val="15"/>
                <w:szCs w:val="15"/>
              </w:rPr>
              <w:t>agency</w:t>
            </w:r>
            <w:r w:rsidRPr="0036577C">
              <w:rPr>
                <w:rFonts w:ascii="Arial" w:hAnsi="Arial" w:cs="Arial"/>
                <w:sz w:val="15"/>
                <w:szCs w:val="15"/>
              </w:rPr>
              <w:t xml:space="preserve">. </w:t>
            </w:r>
            <w:r w:rsidR="006D7B1A">
              <w:rPr>
                <w:rFonts w:ascii="Arial" w:hAnsi="Arial" w:cs="Arial"/>
                <w:sz w:val="15"/>
                <w:szCs w:val="15"/>
              </w:rPr>
              <w:t>Authorisations and accountabilities are not clear and rely on individual roles and responsibilities.</w:t>
            </w:r>
            <w:r w:rsidR="006D7B1A" w:rsidRPr="0036577C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637D47" w:rsidRPr="0036577C">
              <w:rPr>
                <w:rFonts w:ascii="Arial" w:hAnsi="Arial" w:cs="Arial"/>
                <w:sz w:val="15"/>
                <w:szCs w:val="15"/>
              </w:rPr>
              <w:t>Related</w:t>
            </w:r>
            <w:r w:rsidRPr="0036577C">
              <w:rPr>
                <w:rFonts w:ascii="Arial" w:hAnsi="Arial" w:cs="Arial"/>
                <w:sz w:val="15"/>
                <w:szCs w:val="15"/>
              </w:rPr>
              <w:t xml:space="preserve"> practices and procedures </w:t>
            </w:r>
            <w:r w:rsidR="00AE4F5E" w:rsidRPr="0036577C">
              <w:rPr>
                <w:rFonts w:ascii="Arial" w:hAnsi="Arial" w:cs="Arial"/>
                <w:sz w:val="15"/>
                <w:szCs w:val="15"/>
              </w:rPr>
              <w:t xml:space="preserve">do not exist, </w:t>
            </w:r>
            <w:r w:rsidRPr="0036577C">
              <w:rPr>
                <w:rFonts w:ascii="Arial" w:hAnsi="Arial" w:cs="Arial"/>
                <w:sz w:val="15"/>
                <w:szCs w:val="15"/>
              </w:rPr>
              <w:t>are not fully developed, are not fit for purpose or are performed in an ad</w:t>
            </w:r>
            <w:r w:rsidR="0065471F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36577C">
              <w:rPr>
                <w:rFonts w:ascii="Arial" w:hAnsi="Arial" w:cs="Arial"/>
                <w:sz w:val="15"/>
                <w:szCs w:val="15"/>
              </w:rPr>
              <w:t>hoc manner</w:t>
            </w:r>
            <w:r w:rsidR="00637D47" w:rsidRPr="0036577C">
              <w:rPr>
                <w:rFonts w:ascii="Arial" w:hAnsi="Arial" w:cs="Arial"/>
                <w:sz w:val="15"/>
                <w:szCs w:val="15"/>
              </w:rPr>
              <w:t xml:space="preserve"> with</w:t>
            </w:r>
            <w:r w:rsidR="005059EA">
              <w:rPr>
                <w:rFonts w:ascii="Arial" w:hAnsi="Arial" w:cs="Arial"/>
                <w:sz w:val="15"/>
                <w:szCs w:val="15"/>
              </w:rPr>
              <w:t xml:space="preserve"> a</w:t>
            </w:r>
            <w:r w:rsidR="00637D47" w:rsidRPr="0036577C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5059EA">
              <w:rPr>
                <w:rFonts w:ascii="Arial" w:hAnsi="Arial" w:cs="Arial"/>
                <w:sz w:val="15"/>
                <w:szCs w:val="15"/>
              </w:rPr>
              <w:t xml:space="preserve">strong </w:t>
            </w:r>
            <w:r w:rsidR="00637D47" w:rsidRPr="0036577C">
              <w:rPr>
                <w:rFonts w:ascii="Arial" w:hAnsi="Arial" w:cs="Arial"/>
                <w:sz w:val="15"/>
                <w:szCs w:val="15"/>
              </w:rPr>
              <w:t>reliance on individuals</w:t>
            </w:r>
            <w:r w:rsidRPr="0036577C">
              <w:rPr>
                <w:rFonts w:ascii="Arial" w:hAnsi="Arial" w:cs="Arial"/>
                <w:sz w:val="15"/>
                <w:szCs w:val="15"/>
              </w:rPr>
              <w:t xml:space="preserve">. </w:t>
            </w:r>
          </w:p>
        </w:tc>
        <w:tc>
          <w:tcPr>
            <w:tcW w:w="3570" w:type="dxa"/>
          </w:tcPr>
          <w:p w14:paraId="42D9C5AE" w14:textId="3CA83EA9" w:rsidR="00755358" w:rsidRPr="0036577C" w:rsidRDefault="00755358" w:rsidP="00755358">
            <w:pPr>
              <w:rPr>
                <w:rFonts w:ascii="Arial" w:hAnsi="Arial" w:cs="Arial"/>
                <w:sz w:val="15"/>
                <w:szCs w:val="15"/>
              </w:rPr>
            </w:pPr>
            <w:r w:rsidRPr="0036577C">
              <w:rPr>
                <w:rFonts w:ascii="Arial" w:hAnsi="Arial" w:cs="Arial"/>
                <w:sz w:val="15"/>
                <w:szCs w:val="15"/>
              </w:rPr>
              <w:t xml:space="preserve">The </w:t>
            </w:r>
            <w:r w:rsidR="008B437C" w:rsidRPr="0036577C">
              <w:rPr>
                <w:rFonts w:ascii="Arial" w:hAnsi="Arial" w:cs="Arial"/>
                <w:sz w:val="15"/>
                <w:szCs w:val="15"/>
              </w:rPr>
              <w:t xml:space="preserve">Executive and Senior Leadership </w:t>
            </w:r>
            <w:r w:rsidRPr="0036577C">
              <w:rPr>
                <w:rFonts w:ascii="Arial" w:hAnsi="Arial" w:cs="Arial"/>
                <w:sz w:val="15"/>
                <w:szCs w:val="15"/>
              </w:rPr>
              <w:t xml:space="preserve">support the promotion of </w:t>
            </w:r>
            <w:r w:rsidR="00637D47" w:rsidRPr="0036577C">
              <w:rPr>
                <w:rFonts w:ascii="Arial" w:hAnsi="Arial" w:cs="Arial"/>
                <w:sz w:val="15"/>
                <w:szCs w:val="15"/>
              </w:rPr>
              <w:t>MNDB</w:t>
            </w:r>
            <w:r w:rsidRPr="0036577C">
              <w:rPr>
                <w:rFonts w:ascii="Arial" w:hAnsi="Arial" w:cs="Arial"/>
                <w:sz w:val="15"/>
                <w:szCs w:val="15"/>
              </w:rPr>
              <w:t xml:space="preserve"> to all levels of the </w:t>
            </w:r>
            <w:r w:rsidR="00C15C82">
              <w:rPr>
                <w:rFonts w:ascii="Arial" w:hAnsi="Arial" w:cs="Arial"/>
                <w:sz w:val="15"/>
                <w:szCs w:val="15"/>
              </w:rPr>
              <w:t>agency</w:t>
            </w:r>
            <w:r w:rsidRPr="0036577C">
              <w:rPr>
                <w:rFonts w:ascii="Arial" w:hAnsi="Arial" w:cs="Arial"/>
                <w:sz w:val="15"/>
                <w:szCs w:val="15"/>
              </w:rPr>
              <w:t xml:space="preserve">. </w:t>
            </w:r>
            <w:r w:rsidR="00EC4BBF">
              <w:rPr>
                <w:rFonts w:ascii="Arial" w:hAnsi="Arial" w:cs="Arial"/>
                <w:sz w:val="15"/>
                <w:szCs w:val="15"/>
              </w:rPr>
              <w:t xml:space="preserve">Authorisations and accountabilities are documented </w:t>
            </w:r>
            <w:r w:rsidR="006D7B1A">
              <w:rPr>
                <w:rFonts w:ascii="Arial" w:hAnsi="Arial" w:cs="Arial"/>
                <w:sz w:val="15"/>
                <w:szCs w:val="15"/>
              </w:rPr>
              <w:t>and based on</w:t>
            </w:r>
            <w:r w:rsidR="00EC4BBF">
              <w:rPr>
                <w:rFonts w:ascii="Arial" w:hAnsi="Arial" w:cs="Arial"/>
                <w:sz w:val="15"/>
                <w:szCs w:val="15"/>
              </w:rPr>
              <w:t xml:space="preserve"> roles and responsibilities.</w:t>
            </w:r>
            <w:r w:rsidR="00EC4BBF" w:rsidRPr="0036577C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637D47" w:rsidRPr="0036577C">
              <w:rPr>
                <w:rFonts w:ascii="Arial" w:hAnsi="Arial" w:cs="Arial"/>
                <w:sz w:val="15"/>
                <w:szCs w:val="15"/>
              </w:rPr>
              <w:t>Related</w:t>
            </w:r>
            <w:r w:rsidRPr="0036577C">
              <w:rPr>
                <w:rFonts w:ascii="Arial" w:hAnsi="Arial" w:cs="Arial"/>
                <w:sz w:val="15"/>
                <w:szCs w:val="15"/>
              </w:rPr>
              <w:t xml:space="preserve"> practices and procedures are available and </w:t>
            </w:r>
            <w:r w:rsidR="005059EA">
              <w:rPr>
                <w:rFonts w:ascii="Arial" w:hAnsi="Arial" w:cs="Arial"/>
                <w:sz w:val="15"/>
                <w:szCs w:val="15"/>
              </w:rPr>
              <w:t>plan to</w:t>
            </w:r>
            <w:r w:rsidR="00637D47" w:rsidRPr="0036577C">
              <w:rPr>
                <w:rFonts w:ascii="Arial" w:hAnsi="Arial" w:cs="Arial"/>
                <w:sz w:val="15"/>
                <w:szCs w:val="15"/>
              </w:rPr>
              <w:t xml:space="preserve"> be further built upon</w:t>
            </w:r>
            <w:r w:rsidR="005059EA">
              <w:rPr>
                <w:rFonts w:ascii="Arial" w:hAnsi="Arial" w:cs="Arial"/>
                <w:sz w:val="15"/>
                <w:szCs w:val="15"/>
              </w:rPr>
              <w:t xml:space="preserve"> and integrated</w:t>
            </w:r>
            <w:r w:rsidR="00FF1847">
              <w:rPr>
                <w:rFonts w:ascii="Arial" w:hAnsi="Arial" w:cs="Arial"/>
                <w:sz w:val="15"/>
                <w:szCs w:val="15"/>
              </w:rPr>
              <w:t xml:space="preserve"> with continuous improvement</w:t>
            </w:r>
            <w:r w:rsidRPr="0036577C">
              <w:rPr>
                <w:rFonts w:ascii="Arial" w:hAnsi="Arial" w:cs="Arial"/>
                <w:sz w:val="15"/>
                <w:szCs w:val="15"/>
              </w:rPr>
              <w:t xml:space="preserve">. </w:t>
            </w:r>
          </w:p>
        </w:tc>
        <w:tc>
          <w:tcPr>
            <w:tcW w:w="3572" w:type="dxa"/>
          </w:tcPr>
          <w:p w14:paraId="7B46C77D" w14:textId="052BC978" w:rsidR="00755358" w:rsidRPr="0036577C" w:rsidRDefault="00755358" w:rsidP="00755358">
            <w:pPr>
              <w:rPr>
                <w:rFonts w:ascii="Arial" w:hAnsi="Arial" w:cs="Arial"/>
                <w:sz w:val="15"/>
                <w:szCs w:val="15"/>
              </w:rPr>
            </w:pPr>
            <w:r w:rsidRPr="0036577C">
              <w:rPr>
                <w:rFonts w:ascii="Arial" w:hAnsi="Arial" w:cs="Arial"/>
                <w:sz w:val="15"/>
                <w:szCs w:val="15"/>
              </w:rPr>
              <w:t xml:space="preserve">The </w:t>
            </w:r>
            <w:r w:rsidR="008B437C" w:rsidRPr="0036577C">
              <w:rPr>
                <w:rFonts w:ascii="Arial" w:hAnsi="Arial" w:cs="Arial"/>
                <w:sz w:val="15"/>
                <w:szCs w:val="15"/>
              </w:rPr>
              <w:t xml:space="preserve">Executive and Senior Leadership </w:t>
            </w:r>
            <w:r w:rsidRPr="0036577C">
              <w:rPr>
                <w:rFonts w:ascii="Arial" w:hAnsi="Arial" w:cs="Arial"/>
                <w:sz w:val="15"/>
                <w:szCs w:val="15"/>
              </w:rPr>
              <w:t xml:space="preserve">pro-actively monitor the promotion of </w:t>
            </w:r>
            <w:r w:rsidR="00637D47" w:rsidRPr="0036577C">
              <w:rPr>
                <w:rFonts w:ascii="Arial" w:hAnsi="Arial" w:cs="Arial"/>
                <w:sz w:val="15"/>
                <w:szCs w:val="15"/>
              </w:rPr>
              <w:t xml:space="preserve">MNDB </w:t>
            </w:r>
            <w:r w:rsidRPr="0036577C">
              <w:rPr>
                <w:rFonts w:ascii="Arial" w:hAnsi="Arial" w:cs="Arial"/>
                <w:sz w:val="15"/>
                <w:szCs w:val="15"/>
              </w:rPr>
              <w:t xml:space="preserve">to all levels of the </w:t>
            </w:r>
            <w:r w:rsidR="00C15C82">
              <w:rPr>
                <w:rFonts w:ascii="Arial" w:hAnsi="Arial" w:cs="Arial"/>
                <w:sz w:val="15"/>
                <w:szCs w:val="15"/>
              </w:rPr>
              <w:t>agency</w:t>
            </w:r>
            <w:r w:rsidRPr="0036577C">
              <w:rPr>
                <w:rFonts w:ascii="Arial" w:hAnsi="Arial" w:cs="Arial"/>
                <w:sz w:val="15"/>
                <w:szCs w:val="15"/>
              </w:rPr>
              <w:t xml:space="preserve">. </w:t>
            </w:r>
            <w:r w:rsidR="00EC4BBF">
              <w:rPr>
                <w:rFonts w:ascii="Arial" w:hAnsi="Arial" w:cs="Arial"/>
                <w:sz w:val="15"/>
                <w:szCs w:val="15"/>
              </w:rPr>
              <w:t>Authorisations and accountabilities are documented and link to roles and responsibilities</w:t>
            </w:r>
            <w:r w:rsidR="00EC4BBF" w:rsidRPr="0036577C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637D47" w:rsidRPr="0036577C">
              <w:rPr>
                <w:rFonts w:ascii="Arial" w:hAnsi="Arial" w:cs="Arial"/>
                <w:sz w:val="15"/>
                <w:szCs w:val="15"/>
              </w:rPr>
              <w:t>Related best</w:t>
            </w:r>
            <w:r w:rsidRPr="0036577C">
              <w:rPr>
                <w:rFonts w:ascii="Arial" w:hAnsi="Arial" w:cs="Arial"/>
                <w:sz w:val="15"/>
                <w:szCs w:val="15"/>
              </w:rPr>
              <w:t xml:space="preserve"> practices and procedures are embedded into business-as-usual processes.  </w:t>
            </w:r>
          </w:p>
        </w:tc>
        <w:tc>
          <w:tcPr>
            <w:tcW w:w="3576" w:type="dxa"/>
          </w:tcPr>
          <w:p w14:paraId="65600CAE" w14:textId="3544C4D1" w:rsidR="00755358" w:rsidRPr="0036577C" w:rsidRDefault="00755358" w:rsidP="00755358">
            <w:pPr>
              <w:rPr>
                <w:rFonts w:ascii="Arial" w:hAnsi="Arial" w:cs="Arial"/>
                <w:sz w:val="15"/>
                <w:szCs w:val="15"/>
              </w:rPr>
            </w:pPr>
            <w:r w:rsidRPr="0036577C">
              <w:rPr>
                <w:rFonts w:ascii="Arial" w:hAnsi="Arial" w:cs="Arial"/>
                <w:sz w:val="15"/>
                <w:szCs w:val="15"/>
              </w:rPr>
              <w:t xml:space="preserve">The </w:t>
            </w:r>
            <w:r w:rsidR="008B437C" w:rsidRPr="0036577C">
              <w:rPr>
                <w:rFonts w:ascii="Arial" w:hAnsi="Arial" w:cs="Arial"/>
                <w:sz w:val="15"/>
                <w:szCs w:val="15"/>
              </w:rPr>
              <w:t xml:space="preserve">Executive and Senior Leadership </w:t>
            </w:r>
            <w:r w:rsidR="00FF1847">
              <w:rPr>
                <w:rFonts w:ascii="Arial" w:hAnsi="Arial" w:cs="Arial"/>
                <w:sz w:val="15"/>
                <w:szCs w:val="15"/>
              </w:rPr>
              <w:t xml:space="preserve">proactively </w:t>
            </w:r>
            <w:r w:rsidRPr="0036577C">
              <w:rPr>
                <w:rFonts w:ascii="Arial" w:hAnsi="Arial" w:cs="Arial"/>
                <w:sz w:val="15"/>
                <w:szCs w:val="15"/>
              </w:rPr>
              <w:t>promote</w:t>
            </w:r>
            <w:r w:rsidR="00FF1847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36577C">
              <w:rPr>
                <w:rFonts w:ascii="Arial" w:hAnsi="Arial" w:cs="Arial"/>
                <w:sz w:val="15"/>
                <w:szCs w:val="15"/>
              </w:rPr>
              <w:t xml:space="preserve">and advocate </w:t>
            </w:r>
            <w:r w:rsidR="00FF1847">
              <w:rPr>
                <w:rFonts w:ascii="Arial" w:hAnsi="Arial" w:cs="Arial"/>
                <w:sz w:val="15"/>
                <w:szCs w:val="15"/>
              </w:rPr>
              <w:t>MNDB</w:t>
            </w:r>
            <w:r w:rsidRPr="0036577C">
              <w:rPr>
                <w:rFonts w:ascii="Arial" w:hAnsi="Arial" w:cs="Arial"/>
                <w:sz w:val="15"/>
                <w:szCs w:val="15"/>
              </w:rPr>
              <w:t xml:space="preserve"> as a priority to all levels of the </w:t>
            </w:r>
            <w:r w:rsidR="00C15C82">
              <w:rPr>
                <w:rFonts w:ascii="Arial" w:hAnsi="Arial" w:cs="Arial"/>
                <w:sz w:val="15"/>
                <w:szCs w:val="15"/>
              </w:rPr>
              <w:t>agency</w:t>
            </w:r>
            <w:r w:rsidR="005059EA">
              <w:rPr>
                <w:rFonts w:ascii="Arial" w:hAnsi="Arial" w:cs="Arial"/>
                <w:sz w:val="15"/>
                <w:szCs w:val="15"/>
              </w:rPr>
              <w:t xml:space="preserve">, including </w:t>
            </w:r>
            <w:r w:rsidR="00FF1847">
              <w:rPr>
                <w:rFonts w:ascii="Arial" w:hAnsi="Arial" w:cs="Arial"/>
                <w:sz w:val="15"/>
                <w:szCs w:val="15"/>
              </w:rPr>
              <w:t>in</w:t>
            </w:r>
            <w:r w:rsidR="005059EA">
              <w:rPr>
                <w:rFonts w:ascii="Arial" w:hAnsi="Arial" w:cs="Arial"/>
                <w:sz w:val="15"/>
                <w:szCs w:val="15"/>
              </w:rPr>
              <w:t>corporat</w:t>
            </w:r>
            <w:r w:rsidR="00FF1847">
              <w:rPr>
                <w:rFonts w:ascii="Arial" w:hAnsi="Arial" w:cs="Arial"/>
                <w:sz w:val="15"/>
                <w:szCs w:val="15"/>
              </w:rPr>
              <w:t>ing into enterprise</w:t>
            </w:r>
            <w:r w:rsidR="005059EA">
              <w:rPr>
                <w:rFonts w:ascii="Arial" w:hAnsi="Arial" w:cs="Arial"/>
                <w:sz w:val="15"/>
                <w:szCs w:val="15"/>
              </w:rPr>
              <w:t xml:space="preserve"> risk</w:t>
            </w:r>
            <w:r w:rsidRPr="0036577C">
              <w:rPr>
                <w:rFonts w:ascii="Arial" w:hAnsi="Arial" w:cs="Arial"/>
                <w:sz w:val="15"/>
                <w:szCs w:val="15"/>
              </w:rPr>
              <w:t xml:space="preserve">. </w:t>
            </w:r>
            <w:r w:rsidR="00EC4BBF">
              <w:rPr>
                <w:rFonts w:ascii="Arial" w:hAnsi="Arial" w:cs="Arial"/>
                <w:sz w:val="15"/>
                <w:szCs w:val="15"/>
              </w:rPr>
              <w:t xml:space="preserve">Delegations, authorisations and role accountabilities are clear and understood. </w:t>
            </w:r>
            <w:r w:rsidR="00637D47" w:rsidRPr="0036577C">
              <w:rPr>
                <w:rFonts w:ascii="Arial" w:hAnsi="Arial" w:cs="Arial"/>
                <w:sz w:val="15"/>
                <w:szCs w:val="15"/>
              </w:rPr>
              <w:t>Related</w:t>
            </w:r>
            <w:r w:rsidRPr="0036577C">
              <w:rPr>
                <w:rFonts w:ascii="Arial" w:hAnsi="Arial" w:cs="Arial"/>
                <w:sz w:val="15"/>
                <w:szCs w:val="15"/>
              </w:rPr>
              <w:t xml:space="preserve"> practices and procedures are </w:t>
            </w:r>
            <w:r w:rsidR="00637D47" w:rsidRPr="0036577C">
              <w:rPr>
                <w:rFonts w:ascii="Arial" w:hAnsi="Arial" w:cs="Arial"/>
                <w:sz w:val="15"/>
                <w:szCs w:val="15"/>
              </w:rPr>
              <w:t xml:space="preserve">integral to the </w:t>
            </w:r>
            <w:r w:rsidR="00C15C82">
              <w:rPr>
                <w:rFonts w:ascii="Arial" w:hAnsi="Arial" w:cs="Arial"/>
                <w:sz w:val="15"/>
                <w:szCs w:val="15"/>
              </w:rPr>
              <w:t>agency</w:t>
            </w:r>
            <w:r w:rsidR="00637D47" w:rsidRPr="0036577C">
              <w:rPr>
                <w:rFonts w:ascii="Arial" w:hAnsi="Arial" w:cs="Arial"/>
                <w:sz w:val="15"/>
                <w:szCs w:val="15"/>
              </w:rPr>
              <w:t xml:space="preserve"> and </w:t>
            </w:r>
            <w:r w:rsidRPr="0036577C">
              <w:rPr>
                <w:rFonts w:ascii="Arial" w:hAnsi="Arial" w:cs="Arial"/>
                <w:sz w:val="15"/>
                <w:szCs w:val="15"/>
              </w:rPr>
              <w:t xml:space="preserve">subject to continuous improvement activities. </w:t>
            </w:r>
          </w:p>
        </w:tc>
      </w:tr>
      <w:tr w:rsidR="00637D47" w:rsidRPr="002D24CB" w14:paraId="2843930C" w14:textId="77777777" w:rsidTr="009E30CA">
        <w:trPr>
          <w:cantSplit/>
        </w:trPr>
        <w:tc>
          <w:tcPr>
            <w:tcW w:w="1457" w:type="dxa"/>
            <w:shd w:val="clear" w:color="auto" w:fill="222A35" w:themeFill="text2" w:themeFillShade="80"/>
          </w:tcPr>
          <w:p w14:paraId="3786284A" w14:textId="1C15FE7B" w:rsidR="00637D47" w:rsidRPr="0036577C" w:rsidRDefault="00637D47" w:rsidP="00637D4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577C">
              <w:rPr>
                <w:rFonts w:ascii="Arial" w:hAnsi="Arial" w:cs="Arial"/>
                <w:b/>
                <w:bCs/>
                <w:sz w:val="18"/>
                <w:szCs w:val="18"/>
              </w:rPr>
              <w:t>Preparedness (Policy and Planning)</w:t>
            </w:r>
          </w:p>
        </w:tc>
        <w:tc>
          <w:tcPr>
            <w:tcW w:w="3569" w:type="dxa"/>
          </w:tcPr>
          <w:p w14:paraId="30C46518" w14:textId="3CBCDF6A" w:rsidR="00637D47" w:rsidRPr="0036577C" w:rsidRDefault="00637D47" w:rsidP="00637D47">
            <w:pPr>
              <w:rPr>
                <w:rFonts w:ascii="Arial" w:hAnsi="Arial" w:cs="Arial"/>
                <w:sz w:val="15"/>
                <w:szCs w:val="15"/>
              </w:rPr>
            </w:pPr>
            <w:r w:rsidRPr="0036577C">
              <w:rPr>
                <w:rFonts w:ascii="Arial" w:hAnsi="Arial" w:cs="Arial"/>
                <w:sz w:val="15"/>
                <w:szCs w:val="15"/>
              </w:rPr>
              <w:t xml:space="preserve">The </w:t>
            </w:r>
            <w:r w:rsidR="00C15C82">
              <w:rPr>
                <w:rFonts w:ascii="Arial" w:hAnsi="Arial" w:cs="Arial"/>
                <w:sz w:val="15"/>
                <w:szCs w:val="15"/>
              </w:rPr>
              <w:t>agency</w:t>
            </w:r>
            <w:r w:rsidRPr="0036577C">
              <w:rPr>
                <w:rFonts w:ascii="Arial" w:hAnsi="Arial" w:cs="Arial"/>
                <w:sz w:val="15"/>
                <w:szCs w:val="15"/>
              </w:rPr>
              <w:t xml:space="preserve"> is largely unaware of the data breach notification scheme and </w:t>
            </w:r>
            <w:r w:rsidR="005059EA">
              <w:rPr>
                <w:rFonts w:ascii="Arial" w:hAnsi="Arial" w:cs="Arial"/>
                <w:sz w:val="15"/>
                <w:szCs w:val="15"/>
              </w:rPr>
              <w:t xml:space="preserve">existing processes do </w:t>
            </w:r>
            <w:r w:rsidRPr="0036577C">
              <w:rPr>
                <w:rFonts w:ascii="Arial" w:hAnsi="Arial" w:cs="Arial"/>
                <w:sz w:val="15"/>
                <w:szCs w:val="15"/>
              </w:rPr>
              <w:t xml:space="preserve">not </w:t>
            </w:r>
            <w:r w:rsidR="005059EA">
              <w:rPr>
                <w:rFonts w:ascii="Arial" w:hAnsi="Arial" w:cs="Arial"/>
                <w:sz w:val="15"/>
                <w:szCs w:val="15"/>
              </w:rPr>
              <w:t>include</w:t>
            </w:r>
            <w:r w:rsidRPr="0036577C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5059EA">
              <w:rPr>
                <w:rFonts w:ascii="Arial" w:hAnsi="Arial" w:cs="Arial"/>
                <w:sz w:val="15"/>
                <w:szCs w:val="15"/>
              </w:rPr>
              <w:t xml:space="preserve">related </w:t>
            </w:r>
            <w:r w:rsidRPr="0036577C">
              <w:rPr>
                <w:rFonts w:ascii="Arial" w:hAnsi="Arial" w:cs="Arial"/>
                <w:sz w:val="15"/>
                <w:szCs w:val="15"/>
              </w:rPr>
              <w:t>reporting</w:t>
            </w:r>
            <w:r w:rsidR="00C15C82">
              <w:rPr>
                <w:rFonts w:ascii="Arial" w:hAnsi="Arial" w:cs="Arial"/>
                <w:sz w:val="15"/>
                <w:szCs w:val="15"/>
              </w:rPr>
              <w:t>,</w:t>
            </w:r>
            <w:r w:rsidR="005059EA">
              <w:rPr>
                <w:rFonts w:ascii="Arial" w:hAnsi="Arial" w:cs="Arial"/>
                <w:sz w:val="15"/>
                <w:szCs w:val="15"/>
              </w:rPr>
              <w:t xml:space="preserve"> notification</w:t>
            </w:r>
            <w:r w:rsidR="00C15C82">
              <w:rPr>
                <w:rFonts w:ascii="Arial" w:hAnsi="Arial" w:cs="Arial"/>
                <w:sz w:val="15"/>
                <w:szCs w:val="15"/>
              </w:rPr>
              <w:t xml:space="preserve"> or testing of data breach response</w:t>
            </w:r>
            <w:r w:rsidRPr="0036577C">
              <w:rPr>
                <w:rFonts w:ascii="Arial" w:hAnsi="Arial" w:cs="Arial"/>
                <w:sz w:val="15"/>
                <w:szCs w:val="15"/>
              </w:rPr>
              <w:t xml:space="preserve">. </w:t>
            </w:r>
          </w:p>
        </w:tc>
        <w:tc>
          <w:tcPr>
            <w:tcW w:w="3570" w:type="dxa"/>
          </w:tcPr>
          <w:p w14:paraId="796704C2" w14:textId="7BDCA72E" w:rsidR="00637D47" w:rsidRPr="0036577C" w:rsidRDefault="00637D47" w:rsidP="00637D47">
            <w:pPr>
              <w:rPr>
                <w:rFonts w:ascii="Arial" w:hAnsi="Arial" w:cs="Arial"/>
                <w:sz w:val="15"/>
                <w:szCs w:val="15"/>
              </w:rPr>
            </w:pPr>
            <w:r w:rsidRPr="0036577C">
              <w:rPr>
                <w:rFonts w:ascii="Arial" w:hAnsi="Arial" w:cs="Arial"/>
                <w:sz w:val="15"/>
                <w:szCs w:val="15"/>
              </w:rPr>
              <w:t xml:space="preserve">The </w:t>
            </w:r>
            <w:r w:rsidR="00C15C82">
              <w:rPr>
                <w:rFonts w:ascii="Arial" w:hAnsi="Arial" w:cs="Arial"/>
                <w:sz w:val="15"/>
                <w:szCs w:val="15"/>
              </w:rPr>
              <w:t>agency</w:t>
            </w:r>
            <w:r w:rsidRPr="0036577C">
              <w:rPr>
                <w:rFonts w:ascii="Arial" w:hAnsi="Arial" w:cs="Arial"/>
                <w:sz w:val="15"/>
                <w:szCs w:val="15"/>
              </w:rPr>
              <w:t xml:space="preserve"> is aware of</w:t>
            </w:r>
            <w:r w:rsidR="00FF1847">
              <w:rPr>
                <w:rFonts w:ascii="Arial" w:hAnsi="Arial" w:cs="Arial"/>
                <w:sz w:val="15"/>
                <w:szCs w:val="15"/>
              </w:rPr>
              <w:t xml:space="preserve">, and understands </w:t>
            </w:r>
            <w:r w:rsidRPr="0036577C">
              <w:rPr>
                <w:rFonts w:ascii="Arial" w:hAnsi="Arial" w:cs="Arial"/>
                <w:sz w:val="15"/>
                <w:szCs w:val="15"/>
              </w:rPr>
              <w:t xml:space="preserve">the </w:t>
            </w:r>
            <w:r w:rsidR="00FF1847">
              <w:rPr>
                <w:rFonts w:ascii="Arial" w:hAnsi="Arial" w:cs="Arial"/>
                <w:sz w:val="15"/>
                <w:szCs w:val="15"/>
              </w:rPr>
              <w:t xml:space="preserve">agency's requirements for, the </w:t>
            </w:r>
            <w:r w:rsidRPr="0036577C">
              <w:rPr>
                <w:rFonts w:ascii="Arial" w:hAnsi="Arial" w:cs="Arial"/>
                <w:sz w:val="15"/>
                <w:szCs w:val="15"/>
              </w:rPr>
              <w:t xml:space="preserve">data breach notification scheme and follows the IPC advice in the reporting of data breaches. </w:t>
            </w:r>
            <w:r w:rsidR="00C15C82" w:rsidRPr="0036577C">
              <w:rPr>
                <w:rFonts w:ascii="Arial" w:hAnsi="Arial" w:cs="Arial"/>
                <w:sz w:val="15"/>
                <w:szCs w:val="15"/>
              </w:rPr>
              <w:t xml:space="preserve">Processes to follow in the event of a data breach are </w:t>
            </w:r>
            <w:r w:rsidR="00C15C82">
              <w:rPr>
                <w:rFonts w:ascii="Arial" w:hAnsi="Arial" w:cs="Arial"/>
                <w:sz w:val="15"/>
                <w:szCs w:val="15"/>
              </w:rPr>
              <w:t xml:space="preserve">tested, </w:t>
            </w:r>
            <w:r w:rsidR="00C15C82" w:rsidRPr="0036577C">
              <w:rPr>
                <w:rFonts w:ascii="Arial" w:hAnsi="Arial" w:cs="Arial"/>
                <w:sz w:val="15"/>
                <w:szCs w:val="15"/>
              </w:rPr>
              <w:t xml:space="preserve">documented and understood by </w:t>
            </w:r>
            <w:r w:rsidR="00C15C82">
              <w:rPr>
                <w:rFonts w:ascii="Arial" w:hAnsi="Arial" w:cs="Arial"/>
                <w:sz w:val="15"/>
                <w:szCs w:val="15"/>
              </w:rPr>
              <w:t xml:space="preserve">involved </w:t>
            </w:r>
            <w:r w:rsidR="00C15C82" w:rsidRPr="0036577C">
              <w:rPr>
                <w:rFonts w:ascii="Arial" w:hAnsi="Arial" w:cs="Arial"/>
                <w:sz w:val="15"/>
                <w:szCs w:val="15"/>
              </w:rPr>
              <w:t>staff</w:t>
            </w:r>
            <w:r w:rsidR="00C15C82">
              <w:rPr>
                <w:rFonts w:ascii="Arial" w:hAnsi="Arial" w:cs="Arial"/>
                <w:sz w:val="15"/>
                <w:szCs w:val="15"/>
              </w:rPr>
              <w:t>.</w:t>
            </w:r>
          </w:p>
        </w:tc>
        <w:tc>
          <w:tcPr>
            <w:tcW w:w="3572" w:type="dxa"/>
          </w:tcPr>
          <w:p w14:paraId="14B50A2B" w14:textId="2587BF47" w:rsidR="00637D47" w:rsidRPr="0036577C" w:rsidRDefault="00637D47" w:rsidP="00637D47">
            <w:pPr>
              <w:rPr>
                <w:rFonts w:ascii="Arial" w:hAnsi="Arial" w:cs="Arial"/>
                <w:sz w:val="15"/>
                <w:szCs w:val="15"/>
              </w:rPr>
            </w:pPr>
            <w:r w:rsidRPr="0036577C">
              <w:rPr>
                <w:rFonts w:ascii="Arial" w:hAnsi="Arial" w:cs="Arial"/>
                <w:sz w:val="15"/>
                <w:szCs w:val="15"/>
              </w:rPr>
              <w:t xml:space="preserve">The </w:t>
            </w:r>
            <w:r w:rsidR="00C15C82">
              <w:rPr>
                <w:rFonts w:ascii="Arial" w:hAnsi="Arial" w:cs="Arial"/>
                <w:sz w:val="15"/>
                <w:szCs w:val="15"/>
              </w:rPr>
              <w:t>agency</w:t>
            </w:r>
            <w:r w:rsidRPr="0036577C">
              <w:rPr>
                <w:rFonts w:ascii="Arial" w:hAnsi="Arial" w:cs="Arial"/>
                <w:sz w:val="15"/>
                <w:szCs w:val="15"/>
              </w:rPr>
              <w:t xml:space="preserve"> has in place a data breach plan which includes defined </w:t>
            </w:r>
            <w:r w:rsidR="00C72405">
              <w:rPr>
                <w:rFonts w:ascii="Arial" w:hAnsi="Arial" w:cs="Arial"/>
                <w:sz w:val="15"/>
                <w:szCs w:val="15"/>
              </w:rPr>
              <w:t xml:space="preserve">determination of an 'eligible data breach' </w:t>
            </w:r>
            <w:r w:rsidRPr="0036577C">
              <w:rPr>
                <w:rFonts w:ascii="Arial" w:hAnsi="Arial" w:cs="Arial"/>
                <w:sz w:val="15"/>
                <w:szCs w:val="15"/>
              </w:rPr>
              <w:t xml:space="preserve">that are specific to the risks associated with the personal information held by the </w:t>
            </w:r>
            <w:r w:rsidR="00C15C82">
              <w:rPr>
                <w:rFonts w:ascii="Arial" w:hAnsi="Arial" w:cs="Arial"/>
                <w:sz w:val="15"/>
                <w:szCs w:val="15"/>
              </w:rPr>
              <w:t>agency</w:t>
            </w:r>
            <w:r w:rsidRPr="0036577C">
              <w:rPr>
                <w:rFonts w:ascii="Arial" w:hAnsi="Arial" w:cs="Arial"/>
                <w:sz w:val="15"/>
                <w:szCs w:val="15"/>
              </w:rPr>
              <w:t xml:space="preserve">. </w:t>
            </w:r>
            <w:r w:rsidR="00D5530D" w:rsidRPr="0036577C">
              <w:rPr>
                <w:rFonts w:ascii="Arial" w:hAnsi="Arial" w:cs="Arial"/>
                <w:sz w:val="15"/>
                <w:szCs w:val="15"/>
              </w:rPr>
              <w:t>P</w:t>
            </w:r>
            <w:r w:rsidRPr="0036577C">
              <w:rPr>
                <w:rFonts w:ascii="Arial" w:hAnsi="Arial" w:cs="Arial"/>
                <w:sz w:val="15"/>
                <w:szCs w:val="15"/>
              </w:rPr>
              <w:t xml:space="preserve">rocesses to follow in the event of notification of a data breach are </w:t>
            </w:r>
            <w:r w:rsidR="00C15C82">
              <w:rPr>
                <w:rFonts w:ascii="Arial" w:hAnsi="Arial" w:cs="Arial"/>
                <w:sz w:val="15"/>
                <w:szCs w:val="15"/>
              </w:rPr>
              <w:t xml:space="preserve">tested, </w:t>
            </w:r>
            <w:r w:rsidRPr="0036577C">
              <w:rPr>
                <w:rFonts w:ascii="Arial" w:hAnsi="Arial" w:cs="Arial"/>
                <w:sz w:val="15"/>
                <w:szCs w:val="15"/>
              </w:rPr>
              <w:t xml:space="preserve">documented and understood by all relevant staff. </w:t>
            </w:r>
          </w:p>
        </w:tc>
        <w:tc>
          <w:tcPr>
            <w:tcW w:w="3576" w:type="dxa"/>
          </w:tcPr>
          <w:p w14:paraId="0053C1EF" w14:textId="3C16CE2C" w:rsidR="00637D47" w:rsidRPr="0036577C" w:rsidRDefault="00637D47" w:rsidP="00637D47">
            <w:pPr>
              <w:rPr>
                <w:rFonts w:ascii="Arial" w:hAnsi="Arial" w:cs="Arial"/>
                <w:sz w:val="15"/>
                <w:szCs w:val="15"/>
              </w:rPr>
            </w:pPr>
            <w:r w:rsidRPr="0036577C">
              <w:rPr>
                <w:rFonts w:ascii="Arial" w:hAnsi="Arial" w:cs="Arial"/>
                <w:sz w:val="15"/>
                <w:szCs w:val="15"/>
              </w:rPr>
              <w:t xml:space="preserve">A data breach response team is in place to ensure that the </w:t>
            </w:r>
            <w:r w:rsidR="00C15C82">
              <w:rPr>
                <w:rFonts w:ascii="Arial" w:hAnsi="Arial" w:cs="Arial"/>
                <w:sz w:val="15"/>
                <w:szCs w:val="15"/>
              </w:rPr>
              <w:t>agency's</w:t>
            </w:r>
            <w:r w:rsidRPr="0036577C">
              <w:rPr>
                <w:rFonts w:ascii="Arial" w:hAnsi="Arial" w:cs="Arial"/>
                <w:sz w:val="15"/>
                <w:szCs w:val="15"/>
              </w:rPr>
              <w:t xml:space="preserve"> data breach plan is followed in the event of a data breach, including notifying the IPC and managing breaches of shared data. Processes to respond to a data breach and the threshold for notification are regularly </w:t>
            </w:r>
            <w:r w:rsidR="00C15C82">
              <w:rPr>
                <w:rFonts w:ascii="Arial" w:hAnsi="Arial" w:cs="Arial"/>
                <w:sz w:val="15"/>
                <w:szCs w:val="15"/>
              </w:rPr>
              <w:t xml:space="preserve">tested, </w:t>
            </w:r>
            <w:r w:rsidRPr="0036577C">
              <w:rPr>
                <w:rFonts w:ascii="Arial" w:hAnsi="Arial" w:cs="Arial"/>
                <w:sz w:val="15"/>
                <w:szCs w:val="15"/>
              </w:rPr>
              <w:t xml:space="preserve">reviewed and improved, including after </w:t>
            </w:r>
            <w:r w:rsidR="0036577C">
              <w:rPr>
                <w:rFonts w:ascii="Arial" w:hAnsi="Arial" w:cs="Arial"/>
                <w:sz w:val="15"/>
                <w:szCs w:val="15"/>
              </w:rPr>
              <w:t>potential</w:t>
            </w:r>
            <w:r w:rsidRPr="0036577C">
              <w:rPr>
                <w:rFonts w:ascii="Arial" w:hAnsi="Arial" w:cs="Arial"/>
                <w:sz w:val="15"/>
                <w:szCs w:val="15"/>
              </w:rPr>
              <w:t xml:space="preserve"> data breach</w:t>
            </w:r>
            <w:r w:rsidR="005059EA">
              <w:rPr>
                <w:rFonts w:ascii="Arial" w:hAnsi="Arial" w:cs="Arial"/>
                <w:sz w:val="15"/>
                <w:szCs w:val="15"/>
              </w:rPr>
              <w:t>es</w:t>
            </w:r>
            <w:r w:rsidRPr="0036577C">
              <w:rPr>
                <w:rFonts w:ascii="Arial" w:hAnsi="Arial" w:cs="Arial"/>
                <w:sz w:val="15"/>
                <w:szCs w:val="15"/>
              </w:rPr>
              <w:t xml:space="preserve">. </w:t>
            </w:r>
          </w:p>
        </w:tc>
      </w:tr>
      <w:tr w:rsidR="00637D47" w:rsidRPr="002D24CB" w14:paraId="458C5BFD" w14:textId="77777777" w:rsidTr="009E30CA">
        <w:trPr>
          <w:cantSplit/>
        </w:trPr>
        <w:tc>
          <w:tcPr>
            <w:tcW w:w="1457" w:type="dxa"/>
            <w:shd w:val="clear" w:color="auto" w:fill="222A35" w:themeFill="text2" w:themeFillShade="80"/>
          </w:tcPr>
          <w:p w14:paraId="436CF940" w14:textId="52005D79" w:rsidR="00637D47" w:rsidRPr="0036577C" w:rsidRDefault="00637D47" w:rsidP="00637D4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577C">
              <w:rPr>
                <w:rFonts w:ascii="Arial" w:hAnsi="Arial" w:cs="Arial"/>
                <w:b/>
                <w:bCs/>
                <w:sz w:val="18"/>
                <w:szCs w:val="18"/>
              </w:rPr>
              <w:t>Assessment and Detection</w:t>
            </w:r>
          </w:p>
        </w:tc>
        <w:tc>
          <w:tcPr>
            <w:tcW w:w="3569" w:type="dxa"/>
          </w:tcPr>
          <w:p w14:paraId="46A2E800" w14:textId="27B34FBA" w:rsidR="00637D47" w:rsidRPr="0036577C" w:rsidRDefault="0039194A" w:rsidP="00637D47">
            <w:pPr>
              <w:rPr>
                <w:rFonts w:ascii="Arial" w:hAnsi="Arial" w:cs="Arial"/>
                <w:sz w:val="15"/>
                <w:szCs w:val="15"/>
              </w:rPr>
            </w:pPr>
            <w:r w:rsidRPr="0036577C">
              <w:rPr>
                <w:rFonts w:ascii="Arial" w:hAnsi="Arial" w:cs="Arial"/>
                <w:sz w:val="15"/>
                <w:szCs w:val="15"/>
              </w:rPr>
              <w:t>Monitoring</w:t>
            </w:r>
            <w:r w:rsidR="004B3EF1" w:rsidRPr="0036577C">
              <w:rPr>
                <w:rFonts w:ascii="Arial" w:hAnsi="Arial" w:cs="Arial"/>
                <w:sz w:val="15"/>
                <w:szCs w:val="15"/>
              </w:rPr>
              <w:t>,</w:t>
            </w:r>
            <w:r w:rsidRPr="0036577C">
              <w:rPr>
                <w:rFonts w:ascii="Arial" w:hAnsi="Arial" w:cs="Arial"/>
                <w:sz w:val="15"/>
                <w:szCs w:val="15"/>
              </w:rPr>
              <w:t xml:space="preserve"> detection</w:t>
            </w:r>
            <w:r w:rsidR="004B3EF1" w:rsidRPr="0036577C">
              <w:rPr>
                <w:rFonts w:ascii="Arial" w:hAnsi="Arial" w:cs="Arial"/>
                <w:sz w:val="15"/>
                <w:szCs w:val="15"/>
              </w:rPr>
              <w:t xml:space="preserve"> and reporting</w:t>
            </w:r>
            <w:r w:rsidRPr="0036577C">
              <w:rPr>
                <w:rFonts w:ascii="Arial" w:hAnsi="Arial" w:cs="Arial"/>
                <w:sz w:val="15"/>
                <w:szCs w:val="15"/>
              </w:rPr>
              <w:t xml:space="preserve"> is </w:t>
            </w:r>
            <w:r w:rsidR="00954C9D">
              <w:rPr>
                <w:rFonts w:ascii="Arial" w:hAnsi="Arial" w:cs="Arial"/>
                <w:sz w:val="15"/>
                <w:szCs w:val="15"/>
              </w:rPr>
              <w:t xml:space="preserve">not </w:t>
            </w:r>
            <w:r w:rsidRPr="0036577C">
              <w:rPr>
                <w:rFonts w:ascii="Arial" w:hAnsi="Arial" w:cs="Arial"/>
                <w:sz w:val="15"/>
                <w:szCs w:val="15"/>
              </w:rPr>
              <w:t xml:space="preserve">consistent and relies largely on individuals. </w:t>
            </w:r>
            <w:r w:rsidR="004B3EF1" w:rsidRPr="0036577C">
              <w:rPr>
                <w:rFonts w:ascii="Arial" w:hAnsi="Arial" w:cs="Arial"/>
                <w:sz w:val="15"/>
                <w:szCs w:val="15"/>
              </w:rPr>
              <w:t>E</w:t>
            </w:r>
            <w:r w:rsidRPr="0036577C">
              <w:rPr>
                <w:rFonts w:ascii="Arial" w:hAnsi="Arial" w:cs="Arial"/>
                <w:sz w:val="15"/>
                <w:szCs w:val="15"/>
              </w:rPr>
              <w:t xml:space="preserve">scalation processes and accountability </w:t>
            </w:r>
            <w:r w:rsidR="004B3EF1" w:rsidRPr="0036577C">
              <w:rPr>
                <w:rFonts w:ascii="Arial" w:hAnsi="Arial" w:cs="Arial"/>
                <w:sz w:val="15"/>
                <w:szCs w:val="15"/>
              </w:rPr>
              <w:t>are not clear. Assessment of whether a breach is likely to result in 'serious harm' is ad hoc.</w:t>
            </w:r>
          </w:p>
        </w:tc>
        <w:tc>
          <w:tcPr>
            <w:tcW w:w="3570" w:type="dxa"/>
          </w:tcPr>
          <w:p w14:paraId="72AB1EC4" w14:textId="489037C5" w:rsidR="00637D47" w:rsidRPr="0036577C" w:rsidRDefault="00821B8B" w:rsidP="00637D47">
            <w:pPr>
              <w:rPr>
                <w:rFonts w:ascii="Arial" w:hAnsi="Arial" w:cs="Arial"/>
                <w:sz w:val="15"/>
                <w:szCs w:val="15"/>
              </w:rPr>
            </w:pPr>
            <w:r w:rsidRPr="0036577C">
              <w:rPr>
                <w:rFonts w:ascii="Arial" w:hAnsi="Arial" w:cs="Arial"/>
                <w:sz w:val="15"/>
                <w:szCs w:val="15"/>
              </w:rPr>
              <w:t>Monitoring, detection and reporting processes are defined and include escalation and accountability. Assessment of whether a breach is likely to result in 'serious harm' is documented.</w:t>
            </w:r>
          </w:p>
        </w:tc>
        <w:tc>
          <w:tcPr>
            <w:tcW w:w="3572" w:type="dxa"/>
          </w:tcPr>
          <w:p w14:paraId="7F4FE43D" w14:textId="314D987A" w:rsidR="00637D47" w:rsidRPr="0036577C" w:rsidRDefault="00821B8B" w:rsidP="00637D47">
            <w:pPr>
              <w:rPr>
                <w:rFonts w:ascii="Arial" w:hAnsi="Arial" w:cs="Arial"/>
                <w:sz w:val="15"/>
                <w:szCs w:val="15"/>
              </w:rPr>
            </w:pPr>
            <w:r w:rsidRPr="0036577C">
              <w:rPr>
                <w:rFonts w:ascii="Arial" w:hAnsi="Arial" w:cs="Arial"/>
                <w:sz w:val="15"/>
                <w:szCs w:val="15"/>
              </w:rPr>
              <w:t xml:space="preserve">Monitoring, detection, reporting and escalation processes are defined, published and include accountability. </w:t>
            </w:r>
            <w:r w:rsidR="003B601F">
              <w:rPr>
                <w:rFonts w:ascii="Arial" w:hAnsi="Arial" w:cs="Arial"/>
                <w:sz w:val="15"/>
                <w:szCs w:val="15"/>
              </w:rPr>
              <w:t xml:space="preserve">Contracted services include defined processes. </w:t>
            </w:r>
            <w:r w:rsidRPr="0036577C">
              <w:rPr>
                <w:rFonts w:ascii="Arial" w:hAnsi="Arial" w:cs="Arial"/>
                <w:sz w:val="15"/>
                <w:szCs w:val="15"/>
              </w:rPr>
              <w:t>Assessment of whether a breach is likely to result in 'serious harm' is integral. Processes are published/available</w:t>
            </w:r>
            <w:r w:rsidR="0036577C">
              <w:rPr>
                <w:rFonts w:ascii="Arial" w:hAnsi="Arial" w:cs="Arial"/>
                <w:sz w:val="15"/>
                <w:szCs w:val="15"/>
              </w:rPr>
              <w:t>, regularly tested</w:t>
            </w:r>
            <w:r w:rsidRPr="0036577C">
              <w:rPr>
                <w:rFonts w:ascii="Arial" w:hAnsi="Arial" w:cs="Arial"/>
                <w:sz w:val="15"/>
                <w:szCs w:val="15"/>
              </w:rPr>
              <w:t xml:space="preserve"> and understood by all </w:t>
            </w:r>
            <w:r w:rsidR="00C72405">
              <w:rPr>
                <w:rFonts w:ascii="Arial" w:hAnsi="Arial" w:cs="Arial"/>
                <w:sz w:val="15"/>
                <w:szCs w:val="15"/>
              </w:rPr>
              <w:t>with roles and responsibilities as documented in the data breach plan</w:t>
            </w:r>
            <w:r w:rsidRPr="0036577C">
              <w:rPr>
                <w:rFonts w:ascii="Arial" w:hAnsi="Arial" w:cs="Arial"/>
                <w:sz w:val="15"/>
                <w:szCs w:val="15"/>
              </w:rPr>
              <w:t>.</w:t>
            </w:r>
            <w:r w:rsidR="00954C9D"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3576" w:type="dxa"/>
          </w:tcPr>
          <w:p w14:paraId="36F3E45C" w14:textId="34BD7FF4" w:rsidR="00637D47" w:rsidRPr="0036577C" w:rsidRDefault="00A55558" w:rsidP="00637D47">
            <w:pPr>
              <w:rPr>
                <w:rFonts w:ascii="Arial" w:hAnsi="Arial" w:cs="Arial"/>
                <w:sz w:val="15"/>
                <w:szCs w:val="15"/>
              </w:rPr>
            </w:pPr>
            <w:r w:rsidRPr="0036577C">
              <w:rPr>
                <w:rFonts w:ascii="Arial" w:hAnsi="Arial" w:cs="Arial"/>
                <w:sz w:val="15"/>
                <w:szCs w:val="15"/>
              </w:rPr>
              <w:t xml:space="preserve">The </w:t>
            </w:r>
            <w:r w:rsidR="00C15C82">
              <w:rPr>
                <w:rFonts w:ascii="Arial" w:hAnsi="Arial" w:cs="Arial"/>
                <w:sz w:val="15"/>
                <w:szCs w:val="15"/>
              </w:rPr>
              <w:t>agency</w:t>
            </w:r>
            <w:r w:rsidRPr="0036577C">
              <w:rPr>
                <w:rFonts w:ascii="Arial" w:hAnsi="Arial" w:cs="Arial"/>
                <w:sz w:val="15"/>
                <w:szCs w:val="15"/>
              </w:rPr>
              <w:t xml:space="preserve"> promotes a </w:t>
            </w:r>
            <w:r w:rsidR="00C72405">
              <w:rPr>
                <w:rFonts w:ascii="Arial" w:hAnsi="Arial" w:cs="Arial"/>
                <w:sz w:val="15"/>
                <w:szCs w:val="15"/>
              </w:rPr>
              <w:t xml:space="preserve">positive </w:t>
            </w:r>
            <w:r w:rsidRPr="0036577C">
              <w:rPr>
                <w:rFonts w:ascii="Arial" w:hAnsi="Arial" w:cs="Arial"/>
                <w:sz w:val="15"/>
                <w:szCs w:val="15"/>
              </w:rPr>
              <w:t>reporting culture</w:t>
            </w:r>
            <w:r w:rsidR="00821B8B" w:rsidRPr="0036577C">
              <w:rPr>
                <w:rFonts w:ascii="Arial" w:hAnsi="Arial" w:cs="Arial"/>
                <w:sz w:val="15"/>
                <w:szCs w:val="15"/>
              </w:rPr>
              <w:t xml:space="preserve"> which is reinforced regularly</w:t>
            </w:r>
            <w:r w:rsidR="0036577C" w:rsidRPr="0036577C">
              <w:rPr>
                <w:rFonts w:ascii="Arial" w:hAnsi="Arial" w:cs="Arial"/>
                <w:sz w:val="15"/>
                <w:szCs w:val="15"/>
              </w:rPr>
              <w:t>, including by Executive and Senior Leadership</w:t>
            </w:r>
            <w:r w:rsidR="00954C9D">
              <w:rPr>
                <w:rFonts w:ascii="Arial" w:hAnsi="Arial" w:cs="Arial"/>
                <w:sz w:val="15"/>
                <w:szCs w:val="15"/>
              </w:rPr>
              <w:t xml:space="preserve">. </w:t>
            </w:r>
            <w:r w:rsidR="003B601F">
              <w:rPr>
                <w:rFonts w:ascii="Arial" w:hAnsi="Arial" w:cs="Arial"/>
                <w:sz w:val="15"/>
                <w:szCs w:val="15"/>
              </w:rPr>
              <w:t>Reporting processes are clear, integrated and available for usage i</w:t>
            </w:r>
            <w:r w:rsidR="00954C9D">
              <w:rPr>
                <w:rFonts w:ascii="Arial" w:hAnsi="Arial" w:cs="Arial"/>
                <w:sz w:val="15"/>
                <w:szCs w:val="15"/>
              </w:rPr>
              <w:t>nternal</w:t>
            </w:r>
            <w:r w:rsidR="003B601F">
              <w:rPr>
                <w:rFonts w:ascii="Arial" w:hAnsi="Arial" w:cs="Arial"/>
                <w:sz w:val="15"/>
                <w:szCs w:val="15"/>
              </w:rPr>
              <w:t>ly</w:t>
            </w:r>
            <w:r w:rsidR="00954C9D">
              <w:rPr>
                <w:rFonts w:ascii="Arial" w:hAnsi="Arial" w:cs="Arial"/>
                <w:sz w:val="15"/>
                <w:szCs w:val="15"/>
              </w:rPr>
              <w:t xml:space="preserve"> and external</w:t>
            </w:r>
            <w:r w:rsidR="003B601F">
              <w:rPr>
                <w:rFonts w:ascii="Arial" w:hAnsi="Arial" w:cs="Arial"/>
                <w:sz w:val="15"/>
                <w:szCs w:val="15"/>
              </w:rPr>
              <w:t>ly</w:t>
            </w:r>
            <w:r w:rsidR="00954C9D">
              <w:rPr>
                <w:rFonts w:ascii="Arial" w:hAnsi="Arial" w:cs="Arial"/>
                <w:sz w:val="15"/>
                <w:szCs w:val="15"/>
              </w:rPr>
              <w:t xml:space="preserve"> (</w:t>
            </w:r>
            <w:proofErr w:type="spellStart"/>
            <w:r w:rsidR="00954C9D">
              <w:rPr>
                <w:rFonts w:ascii="Arial" w:hAnsi="Arial" w:cs="Arial"/>
                <w:sz w:val="15"/>
                <w:szCs w:val="15"/>
              </w:rPr>
              <w:t>ie</w:t>
            </w:r>
            <w:proofErr w:type="spellEnd"/>
            <w:r w:rsidR="00954C9D">
              <w:rPr>
                <w:rFonts w:ascii="Arial" w:hAnsi="Arial" w:cs="Arial"/>
                <w:sz w:val="15"/>
                <w:szCs w:val="15"/>
              </w:rPr>
              <w:t xml:space="preserve"> public</w:t>
            </w:r>
            <w:r w:rsidR="003B601F">
              <w:rPr>
                <w:rFonts w:ascii="Arial" w:hAnsi="Arial" w:cs="Arial"/>
                <w:sz w:val="15"/>
                <w:szCs w:val="15"/>
              </w:rPr>
              <w:t xml:space="preserve"> and contracted services</w:t>
            </w:r>
            <w:r w:rsidR="00954C9D">
              <w:rPr>
                <w:rFonts w:ascii="Arial" w:hAnsi="Arial" w:cs="Arial"/>
                <w:sz w:val="15"/>
                <w:szCs w:val="15"/>
              </w:rPr>
              <w:t>)</w:t>
            </w:r>
            <w:r w:rsidRPr="0036577C">
              <w:rPr>
                <w:rFonts w:ascii="Arial" w:hAnsi="Arial" w:cs="Arial"/>
                <w:sz w:val="15"/>
                <w:szCs w:val="15"/>
              </w:rPr>
              <w:t>. Escalation pathways are clear and timely.</w:t>
            </w:r>
            <w:r w:rsidR="004B3EF1" w:rsidRPr="0036577C">
              <w:rPr>
                <w:rFonts w:ascii="Arial" w:hAnsi="Arial" w:cs="Arial"/>
                <w:sz w:val="15"/>
                <w:szCs w:val="15"/>
              </w:rPr>
              <w:t xml:space="preserve"> Assessment of whether a breach is likely to result in 'serious harm' is </w:t>
            </w:r>
            <w:r w:rsidR="00C72405">
              <w:rPr>
                <w:rFonts w:ascii="Arial" w:hAnsi="Arial" w:cs="Arial"/>
                <w:sz w:val="15"/>
                <w:szCs w:val="15"/>
              </w:rPr>
              <w:t>consistent, known</w:t>
            </w:r>
            <w:r w:rsidR="004B3EF1" w:rsidRPr="0036577C">
              <w:rPr>
                <w:rFonts w:ascii="Arial" w:hAnsi="Arial" w:cs="Arial"/>
                <w:sz w:val="15"/>
                <w:szCs w:val="15"/>
              </w:rPr>
              <w:t>, integrated and timely.</w:t>
            </w:r>
          </w:p>
        </w:tc>
      </w:tr>
      <w:tr w:rsidR="00637D47" w:rsidRPr="002D24CB" w14:paraId="0979C2E5" w14:textId="77777777" w:rsidTr="009E30CA">
        <w:trPr>
          <w:cantSplit/>
        </w:trPr>
        <w:tc>
          <w:tcPr>
            <w:tcW w:w="1457" w:type="dxa"/>
            <w:shd w:val="clear" w:color="auto" w:fill="222A35" w:themeFill="text2" w:themeFillShade="80"/>
          </w:tcPr>
          <w:p w14:paraId="34B1C616" w14:textId="1846D3A9" w:rsidR="00637D47" w:rsidRPr="00584686" w:rsidRDefault="00637D47" w:rsidP="00637D4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Notification and Response</w:t>
            </w:r>
          </w:p>
        </w:tc>
        <w:tc>
          <w:tcPr>
            <w:tcW w:w="3569" w:type="dxa"/>
          </w:tcPr>
          <w:p w14:paraId="23091748" w14:textId="62AAF5BC" w:rsidR="00637D47" w:rsidRPr="007E4638" w:rsidRDefault="0036577C" w:rsidP="00637D47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Response to a potential breach </w:t>
            </w:r>
            <w:r w:rsidR="002E2D76">
              <w:rPr>
                <w:rFonts w:ascii="Arial" w:hAnsi="Arial" w:cs="Arial"/>
                <w:sz w:val="15"/>
                <w:szCs w:val="15"/>
              </w:rPr>
              <w:t xml:space="preserve">relies largely on individuals and the </w:t>
            </w:r>
            <w:r w:rsidR="00C15C82">
              <w:rPr>
                <w:rFonts w:ascii="Arial" w:hAnsi="Arial" w:cs="Arial"/>
                <w:sz w:val="15"/>
                <w:szCs w:val="15"/>
              </w:rPr>
              <w:t>agency</w:t>
            </w:r>
            <w:r w:rsidR="002E2D76">
              <w:rPr>
                <w:rFonts w:ascii="Arial" w:hAnsi="Arial" w:cs="Arial"/>
                <w:sz w:val="15"/>
                <w:szCs w:val="15"/>
              </w:rPr>
              <w:t xml:space="preserve">'s IT services. Responses are unlikely to be in 'real time' and hence not able to limit or reduce harm. </w:t>
            </w:r>
            <w:r w:rsidR="00C72405">
              <w:rPr>
                <w:rFonts w:ascii="Arial" w:hAnsi="Arial" w:cs="Arial"/>
                <w:sz w:val="15"/>
                <w:szCs w:val="15"/>
              </w:rPr>
              <w:t xml:space="preserve">Criteria determining whether to notify </w:t>
            </w:r>
            <w:r w:rsidR="009468CC">
              <w:rPr>
                <w:rFonts w:ascii="Arial" w:hAnsi="Arial" w:cs="Arial"/>
                <w:sz w:val="15"/>
                <w:szCs w:val="15"/>
              </w:rPr>
              <w:t>any affected individuals</w:t>
            </w:r>
            <w:r w:rsidR="00C72405">
              <w:rPr>
                <w:rFonts w:ascii="Arial" w:hAnsi="Arial" w:cs="Arial"/>
                <w:sz w:val="15"/>
                <w:szCs w:val="15"/>
              </w:rPr>
              <w:t>, as well as notification content,</w:t>
            </w:r>
            <w:r w:rsidR="009468CC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3B601F">
              <w:rPr>
                <w:rFonts w:ascii="Arial" w:hAnsi="Arial" w:cs="Arial"/>
                <w:sz w:val="15"/>
                <w:szCs w:val="15"/>
              </w:rPr>
              <w:t xml:space="preserve">are </w:t>
            </w:r>
            <w:r w:rsidR="009468CC">
              <w:rPr>
                <w:rFonts w:ascii="Arial" w:hAnsi="Arial" w:cs="Arial"/>
                <w:sz w:val="15"/>
                <w:szCs w:val="15"/>
              </w:rPr>
              <w:t xml:space="preserve">determined post breach. </w:t>
            </w:r>
            <w:r w:rsidR="002E2D76" w:rsidRPr="0036577C">
              <w:rPr>
                <w:rFonts w:ascii="Arial" w:hAnsi="Arial" w:cs="Arial"/>
                <w:sz w:val="15"/>
                <w:szCs w:val="15"/>
              </w:rPr>
              <w:t>Executive and Senior Leadership</w:t>
            </w:r>
            <w:r w:rsidR="002E2D76">
              <w:rPr>
                <w:rFonts w:ascii="Arial" w:hAnsi="Arial" w:cs="Arial"/>
                <w:sz w:val="15"/>
                <w:szCs w:val="15"/>
              </w:rPr>
              <w:t xml:space="preserve"> involvement is limited.</w:t>
            </w:r>
          </w:p>
        </w:tc>
        <w:tc>
          <w:tcPr>
            <w:tcW w:w="3570" w:type="dxa"/>
          </w:tcPr>
          <w:p w14:paraId="2ECEDE1A" w14:textId="09F9A038" w:rsidR="00637D47" w:rsidRPr="002D24CB" w:rsidRDefault="009468CC" w:rsidP="00637D47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A breach response team can be easily and quickly established. Accountability and timeframes for evaluating a potential breach and undertaking subsequent responses is defined. Templates,</w:t>
            </w:r>
            <w:r w:rsidR="00801241">
              <w:rPr>
                <w:rFonts w:ascii="Arial" w:hAnsi="Arial" w:cs="Arial"/>
                <w:sz w:val="15"/>
                <w:szCs w:val="15"/>
              </w:rPr>
              <w:t xml:space="preserve"> registers,</w:t>
            </w:r>
            <w:r>
              <w:rPr>
                <w:rFonts w:ascii="Arial" w:hAnsi="Arial" w:cs="Arial"/>
                <w:sz w:val="15"/>
                <w:szCs w:val="15"/>
              </w:rPr>
              <w:t xml:space="preserve"> process and authority for notifying affected individuals are available. Reporting to </w:t>
            </w:r>
            <w:r w:rsidRPr="0036577C">
              <w:rPr>
                <w:rFonts w:ascii="Arial" w:hAnsi="Arial" w:cs="Arial"/>
                <w:sz w:val="15"/>
                <w:szCs w:val="15"/>
              </w:rPr>
              <w:t>Executive and Senior Leadership</w:t>
            </w:r>
            <w:r>
              <w:rPr>
                <w:rFonts w:ascii="Arial" w:hAnsi="Arial" w:cs="Arial"/>
                <w:sz w:val="15"/>
                <w:szCs w:val="15"/>
              </w:rPr>
              <w:t xml:space="preserve"> is defined</w:t>
            </w:r>
            <w:r w:rsidR="00870518">
              <w:rPr>
                <w:rFonts w:ascii="Arial" w:hAnsi="Arial" w:cs="Arial"/>
                <w:sz w:val="15"/>
                <w:szCs w:val="15"/>
              </w:rPr>
              <w:t xml:space="preserve"> and incorporated</w:t>
            </w:r>
            <w:r>
              <w:rPr>
                <w:rFonts w:ascii="Arial" w:hAnsi="Arial" w:cs="Arial"/>
                <w:sz w:val="15"/>
                <w:szCs w:val="15"/>
              </w:rPr>
              <w:t>.</w:t>
            </w:r>
          </w:p>
        </w:tc>
        <w:tc>
          <w:tcPr>
            <w:tcW w:w="3572" w:type="dxa"/>
          </w:tcPr>
          <w:p w14:paraId="091E7017" w14:textId="65DB7821" w:rsidR="00637D47" w:rsidRPr="002D24CB" w:rsidRDefault="009468CC" w:rsidP="00637D47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An identified breach response team is available with defined processes and timeframes for potential breach containment actions. </w:t>
            </w:r>
            <w:r w:rsidR="00203930">
              <w:rPr>
                <w:rFonts w:ascii="Arial" w:hAnsi="Arial" w:cs="Arial"/>
                <w:sz w:val="15"/>
                <w:szCs w:val="15"/>
              </w:rPr>
              <w:t>An approved plan is available for notification of affected individuals, Regulators and other entities as required</w:t>
            </w:r>
            <w:r w:rsidR="00870518">
              <w:rPr>
                <w:rFonts w:ascii="Arial" w:hAnsi="Arial" w:cs="Arial"/>
                <w:sz w:val="15"/>
                <w:szCs w:val="15"/>
              </w:rPr>
              <w:t xml:space="preserve"> by individual cases</w:t>
            </w:r>
            <w:r w:rsidR="00203930">
              <w:rPr>
                <w:rFonts w:ascii="Arial" w:hAnsi="Arial" w:cs="Arial"/>
                <w:sz w:val="15"/>
                <w:szCs w:val="15"/>
              </w:rPr>
              <w:t xml:space="preserve">. The timely </w:t>
            </w:r>
            <w:r w:rsidR="00FA1FB6">
              <w:rPr>
                <w:rFonts w:ascii="Arial" w:hAnsi="Arial" w:cs="Arial"/>
                <w:sz w:val="15"/>
                <w:szCs w:val="15"/>
              </w:rPr>
              <w:t>reporting to</w:t>
            </w:r>
            <w:r w:rsidR="00203930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203930" w:rsidRPr="0036577C">
              <w:rPr>
                <w:rFonts w:ascii="Arial" w:hAnsi="Arial" w:cs="Arial"/>
                <w:sz w:val="15"/>
                <w:szCs w:val="15"/>
              </w:rPr>
              <w:t>Executive and Senior Leadership</w:t>
            </w:r>
            <w:r w:rsidR="00203930">
              <w:rPr>
                <w:rFonts w:ascii="Arial" w:hAnsi="Arial" w:cs="Arial"/>
                <w:sz w:val="15"/>
                <w:szCs w:val="15"/>
              </w:rPr>
              <w:t xml:space="preserve"> is integrated.</w:t>
            </w:r>
          </w:p>
        </w:tc>
        <w:tc>
          <w:tcPr>
            <w:tcW w:w="3576" w:type="dxa"/>
          </w:tcPr>
          <w:p w14:paraId="6FBEE590" w14:textId="79A0EEA5" w:rsidR="00637D47" w:rsidRPr="002D24CB" w:rsidRDefault="00203930" w:rsidP="00637D47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A practiced breach response team </w:t>
            </w:r>
            <w:r w:rsidR="003B601F">
              <w:rPr>
                <w:rFonts w:ascii="Arial" w:hAnsi="Arial" w:cs="Arial"/>
                <w:sz w:val="15"/>
                <w:szCs w:val="15"/>
              </w:rPr>
              <w:t>exists with</w:t>
            </w:r>
            <w:r>
              <w:rPr>
                <w:rFonts w:ascii="Arial" w:hAnsi="Arial" w:cs="Arial"/>
                <w:sz w:val="15"/>
                <w:szCs w:val="15"/>
              </w:rPr>
              <w:t xml:space="preserve"> defined authority and access to skilled specialists. Immediate breach assessments invoke actions to contain breach and limit potential harm. An approved plan is available for notification of affected individuals</w:t>
            </w:r>
            <w:r w:rsidR="003B601F">
              <w:rPr>
                <w:rFonts w:ascii="Arial" w:hAnsi="Arial" w:cs="Arial"/>
                <w:sz w:val="15"/>
                <w:szCs w:val="15"/>
              </w:rPr>
              <w:t>,</w:t>
            </w:r>
            <w:r w:rsidR="00FA1FB6">
              <w:rPr>
                <w:rFonts w:ascii="Arial" w:hAnsi="Arial" w:cs="Arial"/>
                <w:sz w:val="15"/>
                <w:szCs w:val="15"/>
              </w:rPr>
              <w:t xml:space="preserve"> Regulators and other entities includ</w:t>
            </w:r>
            <w:r w:rsidR="003B601F">
              <w:rPr>
                <w:rFonts w:ascii="Arial" w:hAnsi="Arial" w:cs="Arial"/>
                <w:sz w:val="15"/>
                <w:szCs w:val="15"/>
              </w:rPr>
              <w:t>ing</w:t>
            </w:r>
            <w:r w:rsidR="00FA1FB6">
              <w:rPr>
                <w:rFonts w:ascii="Arial" w:hAnsi="Arial" w:cs="Arial"/>
                <w:sz w:val="15"/>
                <w:szCs w:val="15"/>
              </w:rPr>
              <w:t xml:space="preserve"> agreed actions for breaches of shared data. The timely involvement of </w:t>
            </w:r>
            <w:r w:rsidR="00FA1FB6" w:rsidRPr="0036577C">
              <w:rPr>
                <w:rFonts w:ascii="Arial" w:hAnsi="Arial" w:cs="Arial"/>
                <w:sz w:val="15"/>
                <w:szCs w:val="15"/>
              </w:rPr>
              <w:t>Executive and Senior Leadership</w:t>
            </w:r>
            <w:r w:rsidR="00FA1FB6">
              <w:rPr>
                <w:rFonts w:ascii="Arial" w:hAnsi="Arial" w:cs="Arial"/>
                <w:sz w:val="15"/>
                <w:szCs w:val="15"/>
              </w:rPr>
              <w:t xml:space="preserve"> is </w:t>
            </w:r>
            <w:r w:rsidR="003B601F">
              <w:rPr>
                <w:rFonts w:ascii="Arial" w:hAnsi="Arial" w:cs="Arial"/>
                <w:sz w:val="15"/>
                <w:szCs w:val="15"/>
              </w:rPr>
              <w:t xml:space="preserve">fundamental and </w:t>
            </w:r>
            <w:r w:rsidR="00FA1FB6">
              <w:rPr>
                <w:rFonts w:ascii="Arial" w:hAnsi="Arial" w:cs="Arial"/>
                <w:sz w:val="15"/>
                <w:szCs w:val="15"/>
              </w:rPr>
              <w:t>integrated.</w:t>
            </w:r>
          </w:p>
        </w:tc>
      </w:tr>
      <w:tr w:rsidR="00637D47" w:rsidRPr="002D24CB" w14:paraId="57BC7913" w14:textId="77777777" w:rsidTr="009E30CA">
        <w:trPr>
          <w:cantSplit/>
        </w:trPr>
        <w:tc>
          <w:tcPr>
            <w:tcW w:w="1457" w:type="dxa"/>
            <w:shd w:val="clear" w:color="auto" w:fill="222A35" w:themeFill="text2" w:themeFillShade="80"/>
          </w:tcPr>
          <w:p w14:paraId="1F368F27" w14:textId="7B25F2A2" w:rsidR="00637D47" w:rsidRPr="00584686" w:rsidRDefault="00637D47" w:rsidP="00637D4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Review and Continuous Improvement</w:t>
            </w:r>
          </w:p>
        </w:tc>
        <w:tc>
          <w:tcPr>
            <w:tcW w:w="3569" w:type="dxa"/>
          </w:tcPr>
          <w:p w14:paraId="0B1E9B58" w14:textId="124491A3" w:rsidR="00637D47" w:rsidRPr="002D24CB" w:rsidRDefault="00D93B1B" w:rsidP="00637D47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Testing of </w:t>
            </w:r>
            <w:r w:rsidR="009C0730"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ata breach responses does not occur</w:t>
            </w:r>
            <w:r w:rsidR="00637D47">
              <w:rPr>
                <w:rFonts w:ascii="Arial" w:hAnsi="Arial" w:cs="Arial"/>
                <w:sz w:val="15"/>
                <w:szCs w:val="15"/>
              </w:rPr>
              <w:t>.</w:t>
            </w:r>
            <w:r>
              <w:rPr>
                <w:rFonts w:ascii="Arial" w:hAnsi="Arial" w:cs="Arial"/>
                <w:sz w:val="15"/>
                <w:szCs w:val="15"/>
              </w:rPr>
              <w:t xml:space="preserve"> Incidents are treated individually and not subject to review. Currency of any data breach documentation or processes is unclear. Data breach accountability is ad hoc and ill</w:t>
            </w:r>
            <w:r w:rsidR="003B601F">
              <w:rPr>
                <w:rFonts w:ascii="Arial" w:hAnsi="Arial" w:cs="Arial"/>
                <w:sz w:val="15"/>
                <w:szCs w:val="15"/>
              </w:rPr>
              <w:t>-</w:t>
            </w:r>
            <w:r>
              <w:rPr>
                <w:rFonts w:ascii="Arial" w:hAnsi="Arial" w:cs="Arial"/>
                <w:sz w:val="15"/>
                <w:szCs w:val="15"/>
              </w:rPr>
              <w:t>defined.</w:t>
            </w:r>
          </w:p>
        </w:tc>
        <w:tc>
          <w:tcPr>
            <w:tcW w:w="3570" w:type="dxa"/>
          </w:tcPr>
          <w:p w14:paraId="303A4015" w14:textId="01FF9DD9" w:rsidR="00637D47" w:rsidRPr="002D24CB" w:rsidRDefault="00870518" w:rsidP="00637D47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Regular b</w:t>
            </w:r>
            <w:r w:rsidR="008B38BB">
              <w:rPr>
                <w:rFonts w:ascii="Arial" w:hAnsi="Arial" w:cs="Arial"/>
                <w:sz w:val="15"/>
                <w:szCs w:val="15"/>
              </w:rPr>
              <w:t xml:space="preserve">reach response testing </w:t>
            </w:r>
            <w:r>
              <w:rPr>
                <w:rFonts w:ascii="Arial" w:hAnsi="Arial" w:cs="Arial"/>
                <w:sz w:val="15"/>
                <w:szCs w:val="15"/>
              </w:rPr>
              <w:t>is embedded into operations. P</w:t>
            </w:r>
            <w:r w:rsidR="008B38BB">
              <w:rPr>
                <w:rFonts w:ascii="Arial" w:hAnsi="Arial" w:cs="Arial"/>
                <w:sz w:val="15"/>
                <w:szCs w:val="15"/>
              </w:rPr>
              <w:t>ost incident reviews occur</w:t>
            </w:r>
            <w:r>
              <w:rPr>
                <w:rFonts w:ascii="Arial" w:hAnsi="Arial" w:cs="Arial"/>
                <w:sz w:val="15"/>
                <w:szCs w:val="15"/>
              </w:rPr>
              <w:t xml:space="preserve"> and feed into </w:t>
            </w:r>
            <w:r w:rsidR="009C0730">
              <w:rPr>
                <w:rFonts w:ascii="Arial" w:hAnsi="Arial" w:cs="Arial"/>
                <w:sz w:val="15"/>
                <w:szCs w:val="15"/>
              </w:rPr>
              <w:t>process</w:t>
            </w:r>
            <w:r>
              <w:rPr>
                <w:rFonts w:ascii="Arial" w:hAnsi="Arial" w:cs="Arial"/>
                <w:sz w:val="15"/>
                <w:szCs w:val="15"/>
              </w:rPr>
              <w:t xml:space="preserve"> improvement</w:t>
            </w:r>
            <w:r w:rsidR="008B38BB">
              <w:rPr>
                <w:rFonts w:ascii="Arial" w:hAnsi="Arial" w:cs="Arial"/>
                <w:sz w:val="15"/>
                <w:szCs w:val="15"/>
              </w:rPr>
              <w:t xml:space="preserve">. Data breach plan includes review/update </w:t>
            </w:r>
            <w:r w:rsidR="00B4583C">
              <w:rPr>
                <w:rFonts w:ascii="Arial" w:hAnsi="Arial" w:cs="Arial"/>
                <w:sz w:val="15"/>
                <w:szCs w:val="15"/>
              </w:rPr>
              <w:t>of plan</w:t>
            </w:r>
            <w:r w:rsidR="008B38BB">
              <w:rPr>
                <w:rFonts w:ascii="Arial" w:hAnsi="Arial" w:cs="Arial"/>
                <w:sz w:val="15"/>
                <w:szCs w:val="15"/>
              </w:rPr>
              <w:t xml:space="preserve">. </w:t>
            </w:r>
          </w:p>
        </w:tc>
        <w:tc>
          <w:tcPr>
            <w:tcW w:w="3572" w:type="dxa"/>
          </w:tcPr>
          <w:p w14:paraId="6DE19A7B" w14:textId="058CD0A9" w:rsidR="00637D47" w:rsidRPr="002D24CB" w:rsidRDefault="00870518" w:rsidP="00637D47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Annual</w:t>
            </w:r>
            <w:r w:rsidR="000A13C4">
              <w:rPr>
                <w:rFonts w:ascii="Arial" w:hAnsi="Arial" w:cs="Arial"/>
                <w:sz w:val="15"/>
                <w:szCs w:val="15"/>
              </w:rPr>
              <w:t xml:space="preserve"> testing of breach response occurs. </w:t>
            </w:r>
            <w:r>
              <w:rPr>
                <w:rFonts w:ascii="Arial" w:hAnsi="Arial" w:cs="Arial"/>
                <w:sz w:val="15"/>
                <w:szCs w:val="15"/>
              </w:rPr>
              <w:t>Timely r</w:t>
            </w:r>
            <w:r w:rsidR="000A13C4">
              <w:rPr>
                <w:rFonts w:ascii="Arial" w:hAnsi="Arial" w:cs="Arial"/>
                <w:sz w:val="15"/>
                <w:szCs w:val="15"/>
              </w:rPr>
              <w:t xml:space="preserve">eview of incidents and suspected incidents occurs </w:t>
            </w:r>
            <w:r w:rsidR="00A43E2B">
              <w:rPr>
                <w:rFonts w:ascii="Arial" w:hAnsi="Arial" w:cs="Arial"/>
                <w:sz w:val="15"/>
                <w:szCs w:val="15"/>
              </w:rPr>
              <w:t xml:space="preserve">with outcome actions allocated and managed. Policy, plan and process review identifiably covers </w:t>
            </w:r>
            <w:r w:rsidR="0065471F">
              <w:rPr>
                <w:rFonts w:ascii="Arial" w:hAnsi="Arial" w:cs="Arial"/>
                <w:sz w:val="15"/>
                <w:szCs w:val="15"/>
              </w:rPr>
              <w:t xml:space="preserve">changes to the operational and technological </w:t>
            </w:r>
            <w:r w:rsidR="00A43E2B">
              <w:rPr>
                <w:rFonts w:ascii="Arial" w:hAnsi="Arial" w:cs="Arial"/>
                <w:sz w:val="15"/>
                <w:szCs w:val="15"/>
              </w:rPr>
              <w:t>environment</w:t>
            </w:r>
            <w:r w:rsidR="0065471F">
              <w:rPr>
                <w:rFonts w:ascii="Arial" w:hAnsi="Arial" w:cs="Arial"/>
                <w:sz w:val="15"/>
                <w:szCs w:val="15"/>
              </w:rPr>
              <w:t>s,</w:t>
            </w:r>
            <w:r w:rsidR="00A43E2B">
              <w:rPr>
                <w:rFonts w:ascii="Arial" w:hAnsi="Arial" w:cs="Arial"/>
                <w:sz w:val="15"/>
                <w:szCs w:val="15"/>
              </w:rPr>
              <w:t xml:space="preserve"> business</w:t>
            </w:r>
            <w:r w:rsidR="0065471F">
              <w:rPr>
                <w:rFonts w:ascii="Arial" w:hAnsi="Arial" w:cs="Arial"/>
                <w:sz w:val="15"/>
                <w:szCs w:val="15"/>
              </w:rPr>
              <w:t xml:space="preserve"> needs and services</w:t>
            </w:r>
            <w:r w:rsidR="00A43E2B">
              <w:rPr>
                <w:rFonts w:ascii="Arial" w:hAnsi="Arial" w:cs="Arial"/>
                <w:sz w:val="15"/>
                <w:szCs w:val="15"/>
              </w:rPr>
              <w:t xml:space="preserve">.  </w:t>
            </w:r>
          </w:p>
        </w:tc>
        <w:tc>
          <w:tcPr>
            <w:tcW w:w="3576" w:type="dxa"/>
          </w:tcPr>
          <w:p w14:paraId="02F04CBC" w14:textId="3D44820C" w:rsidR="00637D47" w:rsidRPr="002D24CB" w:rsidRDefault="00A43E2B" w:rsidP="00637D47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Breach response testing occurs proactively</w:t>
            </w:r>
            <w:r w:rsidR="003B601F">
              <w:rPr>
                <w:rFonts w:ascii="Arial" w:hAnsi="Arial" w:cs="Arial"/>
                <w:sz w:val="15"/>
                <w:szCs w:val="15"/>
              </w:rPr>
              <w:t xml:space="preserve">, </w:t>
            </w:r>
            <w:r>
              <w:rPr>
                <w:rFonts w:ascii="Arial" w:hAnsi="Arial" w:cs="Arial"/>
                <w:sz w:val="15"/>
                <w:szCs w:val="15"/>
              </w:rPr>
              <w:t xml:space="preserve">regularly </w:t>
            </w:r>
            <w:r w:rsidR="003B601F">
              <w:rPr>
                <w:rFonts w:ascii="Arial" w:hAnsi="Arial" w:cs="Arial"/>
                <w:sz w:val="15"/>
                <w:szCs w:val="15"/>
              </w:rPr>
              <w:t xml:space="preserve">and includes service providers. </w:t>
            </w:r>
            <w:r>
              <w:rPr>
                <w:rFonts w:ascii="Arial" w:hAnsi="Arial" w:cs="Arial"/>
                <w:sz w:val="15"/>
                <w:szCs w:val="15"/>
              </w:rPr>
              <w:t xml:space="preserve">Incident reviews are integrated into MNDB update and maintenance. </w:t>
            </w:r>
            <w:r w:rsidR="00EC5FA2">
              <w:rPr>
                <w:rFonts w:ascii="Arial" w:hAnsi="Arial" w:cs="Arial"/>
                <w:sz w:val="15"/>
                <w:szCs w:val="15"/>
              </w:rPr>
              <w:t xml:space="preserve">Outcomes are documented and managed. </w:t>
            </w:r>
            <w:r w:rsidR="00C15C82">
              <w:rPr>
                <w:rFonts w:ascii="Arial" w:hAnsi="Arial" w:cs="Arial"/>
                <w:sz w:val="15"/>
                <w:szCs w:val="15"/>
              </w:rPr>
              <w:t>The agency</w:t>
            </w:r>
            <w:r w:rsidR="006C4736">
              <w:rPr>
                <w:rFonts w:ascii="Arial" w:hAnsi="Arial" w:cs="Arial"/>
                <w:sz w:val="15"/>
                <w:szCs w:val="15"/>
              </w:rPr>
              <w:t xml:space="preserve"> holds </w:t>
            </w:r>
            <w:r w:rsidR="00B4583C">
              <w:rPr>
                <w:rFonts w:ascii="Arial" w:hAnsi="Arial" w:cs="Arial"/>
                <w:sz w:val="15"/>
                <w:szCs w:val="15"/>
              </w:rPr>
              <w:t xml:space="preserve">a </w:t>
            </w:r>
            <w:r w:rsidR="006C4736">
              <w:rPr>
                <w:rFonts w:ascii="Arial" w:hAnsi="Arial" w:cs="Arial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 xml:space="preserve">eadership role </w:t>
            </w:r>
            <w:r w:rsidR="006C4736">
              <w:rPr>
                <w:rFonts w:ascii="Arial" w:hAnsi="Arial" w:cs="Arial"/>
                <w:sz w:val="15"/>
                <w:szCs w:val="15"/>
              </w:rPr>
              <w:t>in Industry partnerships, forums and Regulatory compliance.</w:t>
            </w:r>
          </w:p>
        </w:tc>
      </w:tr>
    </w:tbl>
    <w:p w14:paraId="10264E7C" w14:textId="77777777" w:rsidR="007E67CD" w:rsidRPr="00734E8F" w:rsidRDefault="007E67CD" w:rsidP="00734E8F">
      <w:pPr>
        <w:rPr>
          <w:sz w:val="20"/>
          <w:szCs w:val="20"/>
        </w:rPr>
      </w:pPr>
    </w:p>
    <w:sectPr w:rsidR="007E67CD" w:rsidRPr="00734E8F" w:rsidSect="00734E8F">
      <w:footerReference w:type="even" r:id="rId10"/>
      <w:footerReference w:type="default" r:id="rId11"/>
      <w:pgSz w:w="16840" w:h="11900" w:orient="landscape"/>
      <w:pgMar w:top="488" w:right="1440" w:bottom="0" w:left="589" w:header="708" w:footer="4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36B28" w14:textId="77777777" w:rsidR="000654EA" w:rsidRDefault="000654EA" w:rsidP="007E4638">
      <w:r>
        <w:separator/>
      </w:r>
    </w:p>
  </w:endnote>
  <w:endnote w:type="continuationSeparator" w:id="0">
    <w:p w14:paraId="7F272DF7" w14:textId="77777777" w:rsidR="000654EA" w:rsidRDefault="000654EA" w:rsidP="007E4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9740776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B480DC5" w14:textId="009813EF" w:rsidR="007E4638" w:rsidRDefault="007E4638" w:rsidP="002B7161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6C4736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A1A1FD0" w14:textId="77777777" w:rsidR="007E4638" w:rsidRDefault="007E4638" w:rsidP="007E4638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85617" w14:textId="1B146AD6" w:rsidR="00734E8F" w:rsidRDefault="00734E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14BFA" w14:textId="77777777" w:rsidR="000654EA" w:rsidRDefault="000654EA" w:rsidP="007E4638">
      <w:r>
        <w:separator/>
      </w:r>
    </w:p>
  </w:footnote>
  <w:footnote w:type="continuationSeparator" w:id="0">
    <w:p w14:paraId="79FAB398" w14:textId="77777777" w:rsidR="000654EA" w:rsidRDefault="000654EA" w:rsidP="007E46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481"/>
    <w:rsid w:val="00005C47"/>
    <w:rsid w:val="00046D55"/>
    <w:rsid w:val="00064D00"/>
    <w:rsid w:val="000654EA"/>
    <w:rsid w:val="000707E4"/>
    <w:rsid w:val="00084985"/>
    <w:rsid w:val="00084ADF"/>
    <w:rsid w:val="0009158B"/>
    <w:rsid w:val="00092892"/>
    <w:rsid w:val="000A13C4"/>
    <w:rsid w:val="000A1CD9"/>
    <w:rsid w:val="000B2963"/>
    <w:rsid w:val="000F68B6"/>
    <w:rsid w:val="00145F5B"/>
    <w:rsid w:val="001C0481"/>
    <w:rsid w:val="001C0EBC"/>
    <w:rsid w:val="001D01F9"/>
    <w:rsid w:val="001E5510"/>
    <w:rsid w:val="001E6537"/>
    <w:rsid w:val="00203930"/>
    <w:rsid w:val="002055E0"/>
    <w:rsid w:val="00215FB6"/>
    <w:rsid w:val="00230665"/>
    <w:rsid w:val="00245EFD"/>
    <w:rsid w:val="00275C81"/>
    <w:rsid w:val="002A14B0"/>
    <w:rsid w:val="002B7888"/>
    <w:rsid w:val="002D24CB"/>
    <w:rsid w:val="002E2D76"/>
    <w:rsid w:val="003129BF"/>
    <w:rsid w:val="00313ADD"/>
    <w:rsid w:val="00330D64"/>
    <w:rsid w:val="003427F1"/>
    <w:rsid w:val="00357FFD"/>
    <w:rsid w:val="0036577C"/>
    <w:rsid w:val="00374851"/>
    <w:rsid w:val="00380FB6"/>
    <w:rsid w:val="0038639A"/>
    <w:rsid w:val="003914FC"/>
    <w:rsid w:val="0039194A"/>
    <w:rsid w:val="00392E13"/>
    <w:rsid w:val="003B5BF0"/>
    <w:rsid w:val="003B601F"/>
    <w:rsid w:val="003D1524"/>
    <w:rsid w:val="003F2E14"/>
    <w:rsid w:val="00421B0B"/>
    <w:rsid w:val="0042470C"/>
    <w:rsid w:val="004733A4"/>
    <w:rsid w:val="00477725"/>
    <w:rsid w:val="00494720"/>
    <w:rsid w:val="00494D5A"/>
    <w:rsid w:val="004B3EF1"/>
    <w:rsid w:val="004D64B2"/>
    <w:rsid w:val="004E5641"/>
    <w:rsid w:val="005059EA"/>
    <w:rsid w:val="00522BF5"/>
    <w:rsid w:val="005410C8"/>
    <w:rsid w:val="005426F4"/>
    <w:rsid w:val="00574C1F"/>
    <w:rsid w:val="00575801"/>
    <w:rsid w:val="00584686"/>
    <w:rsid w:val="00586A86"/>
    <w:rsid w:val="005A54C2"/>
    <w:rsid w:val="005A5CC5"/>
    <w:rsid w:val="005A6977"/>
    <w:rsid w:val="005B2489"/>
    <w:rsid w:val="005C177D"/>
    <w:rsid w:val="00600685"/>
    <w:rsid w:val="00602D68"/>
    <w:rsid w:val="00615C66"/>
    <w:rsid w:val="00622FB5"/>
    <w:rsid w:val="00637D47"/>
    <w:rsid w:val="006402AA"/>
    <w:rsid w:val="00641F16"/>
    <w:rsid w:val="0064240C"/>
    <w:rsid w:val="0065471F"/>
    <w:rsid w:val="00664AFC"/>
    <w:rsid w:val="006A1656"/>
    <w:rsid w:val="006B041C"/>
    <w:rsid w:val="006C4736"/>
    <w:rsid w:val="006D7B1A"/>
    <w:rsid w:val="007029FD"/>
    <w:rsid w:val="007255D9"/>
    <w:rsid w:val="0073249A"/>
    <w:rsid w:val="00734E8F"/>
    <w:rsid w:val="00755358"/>
    <w:rsid w:val="0078408E"/>
    <w:rsid w:val="00792E24"/>
    <w:rsid w:val="007A2BF5"/>
    <w:rsid w:val="007E4638"/>
    <w:rsid w:val="007E57A0"/>
    <w:rsid w:val="007E67CD"/>
    <w:rsid w:val="007F75E8"/>
    <w:rsid w:val="00801241"/>
    <w:rsid w:val="00805123"/>
    <w:rsid w:val="00807376"/>
    <w:rsid w:val="00812117"/>
    <w:rsid w:val="008126A8"/>
    <w:rsid w:val="00821B8B"/>
    <w:rsid w:val="0082693B"/>
    <w:rsid w:val="00833859"/>
    <w:rsid w:val="008449A9"/>
    <w:rsid w:val="00854BA7"/>
    <w:rsid w:val="00856C95"/>
    <w:rsid w:val="00862A83"/>
    <w:rsid w:val="00863643"/>
    <w:rsid w:val="00870518"/>
    <w:rsid w:val="008833B5"/>
    <w:rsid w:val="008A26E2"/>
    <w:rsid w:val="008A298F"/>
    <w:rsid w:val="008B38BB"/>
    <w:rsid w:val="008B437C"/>
    <w:rsid w:val="008C286F"/>
    <w:rsid w:val="008D75D1"/>
    <w:rsid w:val="008D7930"/>
    <w:rsid w:val="008E6852"/>
    <w:rsid w:val="00905932"/>
    <w:rsid w:val="00905BDD"/>
    <w:rsid w:val="00916165"/>
    <w:rsid w:val="009238E1"/>
    <w:rsid w:val="00926699"/>
    <w:rsid w:val="009433EE"/>
    <w:rsid w:val="009468CC"/>
    <w:rsid w:val="0095254A"/>
    <w:rsid w:val="00954C9D"/>
    <w:rsid w:val="00956D3A"/>
    <w:rsid w:val="0096257A"/>
    <w:rsid w:val="009B362E"/>
    <w:rsid w:val="009B5E5F"/>
    <w:rsid w:val="009C0730"/>
    <w:rsid w:val="009C7B53"/>
    <w:rsid w:val="009D3234"/>
    <w:rsid w:val="009E30CA"/>
    <w:rsid w:val="009E5CA7"/>
    <w:rsid w:val="00A04587"/>
    <w:rsid w:val="00A43E2B"/>
    <w:rsid w:val="00A55558"/>
    <w:rsid w:val="00AC3641"/>
    <w:rsid w:val="00AD56CF"/>
    <w:rsid w:val="00AE4F5E"/>
    <w:rsid w:val="00B12A24"/>
    <w:rsid w:val="00B328A7"/>
    <w:rsid w:val="00B4583C"/>
    <w:rsid w:val="00B53797"/>
    <w:rsid w:val="00B568F0"/>
    <w:rsid w:val="00B66870"/>
    <w:rsid w:val="00B674D1"/>
    <w:rsid w:val="00B70D8F"/>
    <w:rsid w:val="00B71DDC"/>
    <w:rsid w:val="00B85DE8"/>
    <w:rsid w:val="00B923B8"/>
    <w:rsid w:val="00BC4372"/>
    <w:rsid w:val="00BC53EE"/>
    <w:rsid w:val="00BD13CA"/>
    <w:rsid w:val="00BF08FD"/>
    <w:rsid w:val="00BF100C"/>
    <w:rsid w:val="00C03422"/>
    <w:rsid w:val="00C15C82"/>
    <w:rsid w:val="00C301BE"/>
    <w:rsid w:val="00C62DF4"/>
    <w:rsid w:val="00C72405"/>
    <w:rsid w:val="00C7523E"/>
    <w:rsid w:val="00C848EE"/>
    <w:rsid w:val="00CA2338"/>
    <w:rsid w:val="00CC3748"/>
    <w:rsid w:val="00CD2C11"/>
    <w:rsid w:val="00CF1CE6"/>
    <w:rsid w:val="00CF36B7"/>
    <w:rsid w:val="00CF5E05"/>
    <w:rsid w:val="00D01FCC"/>
    <w:rsid w:val="00D0310C"/>
    <w:rsid w:val="00D05379"/>
    <w:rsid w:val="00D45A1E"/>
    <w:rsid w:val="00D45BCE"/>
    <w:rsid w:val="00D5530D"/>
    <w:rsid w:val="00D65745"/>
    <w:rsid w:val="00D80989"/>
    <w:rsid w:val="00D93B1B"/>
    <w:rsid w:val="00DA18E1"/>
    <w:rsid w:val="00DC04CA"/>
    <w:rsid w:val="00DC7200"/>
    <w:rsid w:val="00DD6523"/>
    <w:rsid w:val="00DF59BB"/>
    <w:rsid w:val="00DF6421"/>
    <w:rsid w:val="00E14D5C"/>
    <w:rsid w:val="00E26270"/>
    <w:rsid w:val="00E37D30"/>
    <w:rsid w:val="00E54311"/>
    <w:rsid w:val="00E63906"/>
    <w:rsid w:val="00EB630A"/>
    <w:rsid w:val="00EC2888"/>
    <w:rsid w:val="00EC4BBF"/>
    <w:rsid w:val="00EC5FA2"/>
    <w:rsid w:val="00EE6295"/>
    <w:rsid w:val="00F10AF5"/>
    <w:rsid w:val="00F2153F"/>
    <w:rsid w:val="00F40D22"/>
    <w:rsid w:val="00F704C3"/>
    <w:rsid w:val="00F72208"/>
    <w:rsid w:val="00F925A3"/>
    <w:rsid w:val="00F936D8"/>
    <w:rsid w:val="00FA1FB6"/>
    <w:rsid w:val="00FD3ABC"/>
    <w:rsid w:val="00FE1DF3"/>
    <w:rsid w:val="00FF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620A46"/>
  <w15:chartTrackingRefBased/>
  <w15:docId w15:val="{511DBC07-443D-BB4B-A28C-5EF515EFE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27F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04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266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66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66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66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669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923B8"/>
  </w:style>
  <w:style w:type="character" w:customStyle="1" w:styleId="Heading1Char">
    <w:name w:val="Heading 1 Char"/>
    <w:basedOn w:val="DefaultParagraphFont"/>
    <w:link w:val="Heading1"/>
    <w:uiPriority w:val="9"/>
    <w:rsid w:val="003427F1"/>
    <w:rPr>
      <w:rFonts w:asciiTheme="majorHAnsi" w:eastAsiaTheme="majorEastAsia" w:hAnsiTheme="majorHAnsi" w:cstheme="majorBidi"/>
      <w:b/>
      <w:bCs/>
      <w:color w:val="000000" w:themeColor="text1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7E46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4638"/>
  </w:style>
  <w:style w:type="paragraph" w:styleId="Footer">
    <w:name w:val="footer"/>
    <w:basedOn w:val="Normal"/>
    <w:link w:val="FooterChar"/>
    <w:uiPriority w:val="99"/>
    <w:unhideWhenUsed/>
    <w:rsid w:val="007E46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4638"/>
  </w:style>
  <w:style w:type="character" w:styleId="PageNumber">
    <w:name w:val="page number"/>
    <w:basedOn w:val="DefaultParagraphFont"/>
    <w:uiPriority w:val="99"/>
    <w:semiHidden/>
    <w:unhideWhenUsed/>
    <w:rsid w:val="007E4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97B3D2671C0B419C20ADDEB448215B" ma:contentTypeVersion="21" ma:contentTypeDescription="Create a new document." ma:contentTypeScope="" ma:versionID="1946a012b6a5c5a0f521dd1f745d99c0">
  <xsd:schema xmlns:xsd="http://www.w3.org/2001/XMLSchema" xmlns:xs="http://www.w3.org/2001/XMLSchema" xmlns:p="http://schemas.microsoft.com/office/2006/metadata/properties" xmlns:ns2="60a9a237-541a-4694-ac71-7c7974ea20d2" xmlns:ns3="6a08c7d6-d491-4b00-87ec-5ce5cfc631db" targetNamespace="http://schemas.microsoft.com/office/2006/metadata/properties" ma:root="true" ma:fieldsID="d2947c3f1097e1af50eeec5d752e4b58" ns2:_="" ns3:_="">
    <xsd:import namespace="60a9a237-541a-4694-ac71-7c7974ea20d2"/>
    <xsd:import namespace="6a08c7d6-d491-4b00-87ec-5ce5cfc631db"/>
    <xsd:element name="properties">
      <xsd:complexType>
        <xsd:sequence>
          <xsd:element name="documentManagement">
            <xsd:complexType>
              <xsd:all>
                <xsd:element ref="ns2:SharedDocumentAccessGuid" minOccurs="0"/>
                <xsd:element ref="ns2:Archived" minOccurs="0"/>
                <xsd:element ref="ns2:MigratedSourceSystemLocation" minOccurs="0"/>
                <xsd:element ref="ns2:JSONPreview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a9a237-541a-4694-ac71-7c7974ea20d2" elementFormDefault="qualified">
    <xsd:import namespace="http://schemas.microsoft.com/office/2006/documentManagement/types"/>
    <xsd:import namespace="http://schemas.microsoft.com/office/infopath/2007/PartnerControls"/>
    <xsd:element name="SharedDocumentAccessGuid" ma:index="8" nillable="true" ma:displayName="SharedDocumentAccessGuid" ma:hidden="true" ma:internalName="SharedDocumentAccessGuid">
      <xsd:simpleType>
        <xsd:restriction base="dms:Text"/>
      </xsd:simpleType>
    </xsd:element>
    <xsd:element name="Archived" ma:index="9" nillable="true" ma:displayName="Archived" ma:internalName="Archived">
      <xsd:simpleType>
        <xsd:restriction base="dms:Boolean"/>
      </xsd:simpleType>
    </xsd:element>
    <xsd:element name="MigratedSourceSystemLocation" ma:index="10" nillable="true" ma:displayName="MigratedSourceSystemLocation" ma:hidden="true" ma:internalName="MigratedSourceSystemLocation">
      <xsd:simpleType>
        <xsd:restriction base="dms:Text"/>
      </xsd:simpleType>
    </xsd:element>
    <xsd:element name="JSONPreview" ma:index="11" nillable="true" ma:displayName="JSONPreview" ma:hidden="true" ma:internalName="JSONPreview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f0829d6c-6ee0-4a20-baa2-9ab0a06e81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8c7d6-d491-4b00-87ec-5ce5cfc631db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233b13ff-dc2d-404a-aa41-4f6521a7357c}" ma:internalName="TaxCatchAll" ma:showField="CatchAllData" ma:web="6a08c7d6-d491-4b00-87ec-5ce5cfc631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edSourceSystemLocation xmlns="60a9a237-541a-4694-ac71-7c7974ea20d2" xsi:nil="true"/>
    <SharedDocumentAccessGuid xmlns="60a9a237-541a-4694-ac71-7c7974ea20d2" xsi:nil="true"/>
    <lcf76f155ced4ddcb4097134ff3c332f xmlns="60a9a237-541a-4694-ac71-7c7974ea20d2">
      <Terms xmlns="http://schemas.microsoft.com/office/infopath/2007/PartnerControls"/>
    </lcf76f155ced4ddcb4097134ff3c332f>
    <TaxCatchAll xmlns="6a08c7d6-d491-4b00-87ec-5ce5cfc631db" xsi:nil="true"/>
    <Archived xmlns="60a9a237-541a-4694-ac71-7c7974ea20d2" xsi:nil="true"/>
    <JSONPreview xmlns="60a9a237-541a-4694-ac71-7c7974ea20d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E66F9A-2403-439C-89BF-AE7ECF8332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a9a237-541a-4694-ac71-7c7974ea20d2"/>
    <ds:schemaRef ds:uri="6a08c7d6-d491-4b00-87ec-5ce5cfc631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B231F2-308F-4FDE-89DA-CA2E5351AB16}">
  <ds:schemaRefs>
    <ds:schemaRef ds:uri="http://schemas.microsoft.com/office/2006/metadata/properties"/>
    <ds:schemaRef ds:uri="http://schemas.microsoft.com/office/infopath/2007/PartnerControls"/>
    <ds:schemaRef ds:uri="60a9a237-541a-4694-ac71-7c7974ea20d2"/>
    <ds:schemaRef ds:uri="6a08c7d6-d491-4b00-87ec-5ce5cfc631db"/>
  </ds:schemaRefs>
</ds:datastoreItem>
</file>

<file path=customXml/itemProps3.xml><?xml version="1.0" encoding="utf-8"?>
<ds:datastoreItem xmlns:ds="http://schemas.openxmlformats.org/officeDocument/2006/customXml" ds:itemID="{D51E79E7-9AEB-4864-AB4C-B5C3CA92FF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982</Words>
  <Characters>5601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 MNDB Scheme Maturity Self-assessment Tool - Maturity Matrix</vt:lpstr>
    </vt:vector>
  </TitlesOfParts>
  <Company>Information and Privacy Commission NSW</Company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 MNDB Scheme Maturity Self-assessment Tool - Maturity Matrix</dc:title>
  <dc:subject/>
  <dc:creator>Rob Turner</dc:creator>
  <cp:keywords/>
  <dc:description/>
  <cp:lastModifiedBy>Giles Aley</cp:lastModifiedBy>
  <cp:revision>2</cp:revision>
  <dcterms:created xsi:type="dcterms:W3CDTF">2026-05-27T02:10:00Z</dcterms:created>
  <dcterms:modified xsi:type="dcterms:W3CDTF">2026-05-27T02:10:00Z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0x0101000197B3D2671C0B419C20ADDEB448215B</vt:lpwstr>
  </property>
  <property fmtid="{D5CDD505-2E9C-101B-9397-08002B2CF9AE}" pid="3" name="MediaServiceImageTags">
    <vt:lpwstr/>
  </property>
</Properties>
</file>